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D12CD" w14:textId="16C1CB7A" w:rsidR="00406ADF" w:rsidRPr="00062817" w:rsidRDefault="00406ADF" w:rsidP="005446F9">
      <w:pPr>
        <w:spacing w:after="0" w:line="390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06281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Учетная политика</w:t>
      </w:r>
    </w:p>
    <w:p w14:paraId="79948FFF" w14:textId="77777777" w:rsidR="00406ADF" w:rsidRPr="00062817" w:rsidRDefault="00406ADF" w:rsidP="005446F9">
      <w:pPr>
        <w:spacing w:after="0" w:line="39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32889C2" w14:textId="3B8DFA19" w:rsidR="00406ADF" w:rsidRPr="00F27D30" w:rsidRDefault="00406ADF" w:rsidP="00062817">
      <w:pPr>
        <w:tabs>
          <w:tab w:val="left" w:pos="42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Контрольно-счетная палата Петрозаводского городского округа (далее – Контрольно-счетная палата)</w:t>
      </w:r>
      <w:r w:rsidRPr="00F27D30"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обладает правами юридического лица, что подтверждается </w:t>
      </w:r>
      <w:r w:rsidR="00DF3AC7">
        <w:rPr>
          <w:rFonts w:ascii="Times New Roman" w:eastAsia="Times New Roman" w:hAnsi="Times New Roman" w:cs="Times New Roman"/>
          <w:sz w:val="26"/>
          <w:szCs w:val="28"/>
          <w:lang w:eastAsia="ru-RU"/>
        </w:rPr>
        <w:t>с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видетельством о государственной регистрации юридического лица ЕГРЮЛ от 18.06.2014 года серия 10 № 001317536 и присвоении ОГРН 1141001007740, имеет гербовую печать и бланки со своим наименованием и с изображением герба города Петрозаводска. </w:t>
      </w:r>
    </w:p>
    <w:p w14:paraId="4539997D" w14:textId="2FAD37B4" w:rsidR="00406ADF" w:rsidRPr="00F27D30" w:rsidRDefault="00406ADF" w:rsidP="00062817">
      <w:pPr>
        <w:tabs>
          <w:tab w:val="left" w:pos="42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Контрольно-счетная палата действует в соответствии с Решением Петрозаводского городского Совета от 04.06.2013 № 27/19-295 «Об утверждении Положения «О Контрольно-счетной палате Петрозаводского городского округа»», свидетельством о постановке на учет в налоговом органе юридического лица, образованного в соответствии с законодательством </w:t>
      </w:r>
      <w:r w:rsidRP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>Р</w:t>
      </w:r>
      <w:r w:rsidR="00DF3AC7" w:rsidRP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>оссийской Ф</w:t>
      </w:r>
      <w:r w:rsidR="00DF3AC7">
        <w:rPr>
          <w:rFonts w:ascii="Times New Roman" w:eastAsia="Times New Roman" w:hAnsi="Times New Roman" w:cs="Times New Roman"/>
          <w:sz w:val="26"/>
          <w:szCs w:val="28"/>
          <w:lang w:eastAsia="ru-RU"/>
        </w:rPr>
        <w:t>едерации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, по месту нахождения на территории </w:t>
      </w:r>
      <w:r w:rsidR="00DF3AC7" w:rsidRP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>Российской Федерации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от 18.06.2014 сери</w:t>
      </w:r>
      <w:r w:rsidR="00DF3AC7">
        <w:rPr>
          <w:rFonts w:ascii="Times New Roman" w:eastAsia="Times New Roman" w:hAnsi="Times New Roman" w:cs="Times New Roman"/>
          <w:sz w:val="26"/>
          <w:szCs w:val="28"/>
          <w:lang w:eastAsia="ru-RU"/>
        </w:rPr>
        <w:t>я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10 </w:t>
      </w:r>
      <w:r w:rsidR="00DF3AC7">
        <w:rPr>
          <w:rFonts w:ascii="Times New Roman" w:eastAsia="Times New Roman" w:hAnsi="Times New Roman" w:cs="Times New Roman"/>
          <w:sz w:val="26"/>
          <w:szCs w:val="28"/>
          <w:lang w:eastAsia="ru-RU"/>
        </w:rPr>
        <w:br/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№ 01321280. Контрольно-счетной палате присвоены ИНН юридического лица 1001285030 и КПП 100101001. </w:t>
      </w:r>
    </w:p>
    <w:p w14:paraId="4DC22B3A" w14:textId="77777777" w:rsidR="00406ADF" w:rsidRPr="00F27D30" w:rsidRDefault="00406ADF" w:rsidP="00062817">
      <w:pPr>
        <w:tabs>
          <w:tab w:val="left" w:pos="42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Контрольно-счетная палата является органом местного самоуправления Петрозаводского городского округа, образованным Петрозаводским городским Советом и подотчетным ему. </w:t>
      </w:r>
    </w:p>
    <w:p w14:paraId="2D01203F" w14:textId="77777777" w:rsidR="00406ADF" w:rsidRPr="00F27D30" w:rsidRDefault="00406ADF" w:rsidP="00062817">
      <w:pPr>
        <w:tabs>
          <w:tab w:val="left" w:pos="42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Контрольно-счетная палата – постоянно действующий орган внешнего муниципального финансового контроля Петрозаводского городского округа и орган, уполномоченный на осуществление аудита и контроля в сфере закупок.</w:t>
      </w:r>
    </w:p>
    <w:p w14:paraId="60163ECE" w14:textId="394158B6" w:rsidR="00D94110" w:rsidRPr="00F27D30" w:rsidRDefault="00406ADF" w:rsidP="00D94110">
      <w:pPr>
        <w:spacing w:after="0" w:line="276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     Учетная политика для целей бухгалтерского учета </w:t>
      </w:r>
      <w:r w:rsidRPr="00F27D30">
        <w:rPr>
          <w:rFonts w:ascii="Times New Roman" w:hAnsi="Times New Roman" w:cs="Times New Roman"/>
          <w:sz w:val="26"/>
          <w:szCs w:val="28"/>
        </w:rPr>
        <w:t>Контрольно-счетной палаты Петрозаводского городского округа</w:t>
      </w:r>
      <w:r w:rsidR="00B56D9B" w:rsidRPr="00F27D30">
        <w:rPr>
          <w:rFonts w:ascii="Times New Roman" w:hAnsi="Times New Roman" w:cs="Times New Roman"/>
          <w:sz w:val="26"/>
          <w:szCs w:val="28"/>
        </w:rPr>
        <w:t xml:space="preserve"> </w:t>
      </w:r>
      <w:r w:rsidR="00B56D9B" w:rsidRPr="00F27D30">
        <w:rPr>
          <w:rFonts w:ascii="Times New Roman" w:hAnsi="Times New Roman" w:cs="Times New Roman"/>
          <w:sz w:val="26"/>
          <w:szCs w:val="28"/>
          <w:lang w:eastAsia="ru-RU"/>
        </w:rPr>
        <w:t>(далее –</w:t>
      </w:r>
      <w:r w:rsidR="00DF3AC7">
        <w:rPr>
          <w:rFonts w:ascii="Times New Roman" w:hAnsi="Times New Roman" w:cs="Times New Roman"/>
          <w:sz w:val="26"/>
          <w:szCs w:val="28"/>
          <w:lang w:eastAsia="ru-RU"/>
        </w:rPr>
        <w:t xml:space="preserve"> </w:t>
      </w:r>
      <w:r w:rsidR="00B56D9B" w:rsidRPr="006E622D">
        <w:rPr>
          <w:rFonts w:ascii="Times New Roman" w:hAnsi="Times New Roman" w:cs="Times New Roman"/>
          <w:sz w:val="26"/>
          <w:szCs w:val="28"/>
          <w:lang w:eastAsia="ru-RU"/>
        </w:rPr>
        <w:t>У</w:t>
      </w:r>
      <w:r w:rsidR="00B56D9B" w:rsidRPr="00F27D30">
        <w:rPr>
          <w:rFonts w:ascii="Times New Roman" w:hAnsi="Times New Roman" w:cs="Times New Roman"/>
          <w:sz w:val="26"/>
          <w:szCs w:val="28"/>
          <w:lang w:eastAsia="ru-RU"/>
        </w:rPr>
        <w:t>четная политика)</w:t>
      </w: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, утвержденная распоряжением </w:t>
      </w:r>
      <w:r w:rsidRPr="00F27D30">
        <w:rPr>
          <w:rFonts w:ascii="Times New Roman" w:hAnsi="Times New Roman" w:cs="Times New Roman"/>
          <w:sz w:val="26"/>
          <w:szCs w:val="28"/>
        </w:rPr>
        <w:t xml:space="preserve">Контрольно-счетной палаты </w:t>
      </w: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от </w:t>
      </w:r>
      <w:r w:rsidR="00F27D30" w:rsidRPr="00623AF3">
        <w:rPr>
          <w:rFonts w:ascii="Times New Roman" w:hAnsi="Times New Roman" w:cs="Times New Roman"/>
          <w:sz w:val="26"/>
          <w:szCs w:val="28"/>
        </w:rPr>
        <w:t>30</w:t>
      </w:r>
      <w:r w:rsidRPr="00623AF3">
        <w:rPr>
          <w:rFonts w:ascii="Times New Roman" w:hAnsi="Times New Roman" w:cs="Times New Roman"/>
          <w:sz w:val="26"/>
          <w:szCs w:val="28"/>
          <w:lang w:eastAsia="ru-RU"/>
        </w:rPr>
        <w:t>.1</w:t>
      </w:r>
      <w:r w:rsidRPr="00623AF3">
        <w:rPr>
          <w:rFonts w:ascii="Times New Roman" w:hAnsi="Times New Roman" w:cs="Times New Roman"/>
          <w:sz w:val="26"/>
          <w:szCs w:val="28"/>
        </w:rPr>
        <w:t>2</w:t>
      </w:r>
      <w:r w:rsidRPr="00623AF3">
        <w:rPr>
          <w:rFonts w:ascii="Times New Roman" w:hAnsi="Times New Roman" w:cs="Times New Roman"/>
          <w:sz w:val="26"/>
          <w:szCs w:val="28"/>
          <w:lang w:eastAsia="ru-RU"/>
        </w:rPr>
        <w:t>.202</w:t>
      </w:r>
      <w:r w:rsidR="00D94110" w:rsidRPr="00623AF3">
        <w:rPr>
          <w:rFonts w:ascii="Times New Roman" w:hAnsi="Times New Roman" w:cs="Times New Roman"/>
          <w:sz w:val="26"/>
          <w:szCs w:val="28"/>
        </w:rPr>
        <w:t>5</w:t>
      </w:r>
      <w:r w:rsidRPr="00623AF3">
        <w:rPr>
          <w:rFonts w:ascii="Times New Roman" w:hAnsi="Times New Roman" w:cs="Times New Roman"/>
          <w:sz w:val="26"/>
          <w:szCs w:val="28"/>
          <w:lang w:eastAsia="ru-RU"/>
        </w:rPr>
        <w:t xml:space="preserve"> № </w:t>
      </w:r>
      <w:r w:rsidR="00F27D30" w:rsidRPr="00623AF3">
        <w:rPr>
          <w:rFonts w:ascii="Times New Roman" w:hAnsi="Times New Roman" w:cs="Times New Roman"/>
          <w:sz w:val="26"/>
          <w:szCs w:val="28"/>
        </w:rPr>
        <w:t>30</w:t>
      </w:r>
      <w:r w:rsidRPr="00623AF3">
        <w:rPr>
          <w:rFonts w:ascii="Times New Roman" w:hAnsi="Times New Roman" w:cs="Times New Roman"/>
          <w:sz w:val="26"/>
          <w:szCs w:val="28"/>
          <w:lang w:eastAsia="ru-RU"/>
        </w:rPr>
        <w:t>-р,</w:t>
      </w: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разработана исходя из требований следующих нормативных правовых актов:</w:t>
      </w:r>
    </w:p>
    <w:p w14:paraId="407E296F" w14:textId="185BDB03" w:rsidR="00406ADF" w:rsidRPr="00F27D30" w:rsidRDefault="00D94110" w:rsidP="00F27D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hAnsi="Times New Roman" w:cs="Times New Roman"/>
          <w:sz w:val="26"/>
          <w:szCs w:val="28"/>
          <w:lang w:eastAsia="ru-RU"/>
        </w:rPr>
        <w:t xml:space="preserve">      </w:t>
      </w:r>
      <w:r w:rsidR="00406ADF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Бюджетный </w:t>
      </w:r>
      <w:hyperlink r:id="rId8" w:history="1">
        <w:r w:rsidR="00406ADF"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кодекс</w:t>
        </w:r>
      </w:hyperlink>
      <w:r w:rsidR="00406ADF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Р</w:t>
      </w:r>
      <w:r w:rsidR="00D044EA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оссийской Федерации</w:t>
      </w:r>
      <w:r w:rsidR="00406ADF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;</w:t>
      </w:r>
    </w:p>
    <w:p w14:paraId="789D98A7" w14:textId="7151126C" w:rsidR="00D94110" w:rsidRPr="00F27D30" w:rsidRDefault="00D94110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  </w:t>
      </w:r>
      <w:r w:rsidR="00406ADF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</w:t>
      </w:r>
      <w:hyperlink r:id="rId9" w:history="1">
        <w:r w:rsidR="00406ADF"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закон</w:t>
        </w:r>
      </w:hyperlink>
      <w:r w:rsidR="00406ADF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от 06.12.2011 № 402-ФЗ «О бухгалтерском учете»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;</w:t>
      </w:r>
    </w:p>
    <w:p w14:paraId="13069650" w14:textId="2067D1A1" w:rsidR="00D94110" w:rsidRPr="00F27D30" w:rsidRDefault="00D94110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="00406ADF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сектора», утвержденный Приказом Минфина России от 31.12.2016 № 256н;</w:t>
      </w:r>
    </w:p>
    <w:p w14:paraId="177D9444" w14:textId="7E6C6B93" w:rsidR="00406ADF" w:rsidRPr="00F27D30" w:rsidRDefault="00D94110" w:rsidP="00F27D3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="00406ADF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</w:t>
      </w:r>
      <w:hyperlink r:id="rId10" w:history="1">
        <w:r w:rsidR="00406ADF"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="00406ADF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бухгалтерского учета для организаций государственного сектора «Основные средства», утвержденный Приказом Минфина России от 31.12.2016 № 257н;</w:t>
      </w:r>
    </w:p>
    <w:p w14:paraId="47ADAAE0" w14:textId="7C5FB33F" w:rsidR="00406ADF" w:rsidRPr="00F27D30" w:rsidRDefault="00406ADF" w:rsidP="00F27D30">
      <w:pPr>
        <w:tabs>
          <w:tab w:val="left" w:pos="709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</w:t>
      </w:r>
      <w:hyperlink r:id="rId11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бухгалтерского учета для организаций государственного сектора «Обесценение активов», утвержденный Приказом Минфина России от 31.12.2016 № 259н;</w:t>
      </w:r>
    </w:p>
    <w:p w14:paraId="6C8139BA" w14:textId="52C22058" w:rsidR="00406ADF" w:rsidRPr="00F27D30" w:rsidRDefault="00406ADF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</w:t>
      </w:r>
      <w:hyperlink r:id="rId12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бухгалтерского учета для организаций государственного сектора «Представление бухгалтерской (финансовой) отчетности», утвержденный Приказом Минфина России от 31.12.2016 № 260н;</w:t>
      </w:r>
    </w:p>
    <w:p w14:paraId="3490730E" w14:textId="603B01D5" w:rsidR="00406ADF" w:rsidRPr="00F27D30" w:rsidRDefault="00406ADF" w:rsidP="00F27D30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lastRenderedPageBreak/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</w:t>
      </w:r>
      <w:hyperlink r:id="rId13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бухгалтерского учета для организаций государственного сектора «Отчет о движении денежных средств», утвержденный Приказом Минфина России от 30.12.2017 № 278н;</w:t>
      </w:r>
    </w:p>
    <w:p w14:paraId="249ABBE0" w14:textId="17B39A81" w:rsidR="00406ADF" w:rsidRPr="00F27D30" w:rsidRDefault="00406ADF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</w:t>
      </w:r>
      <w:hyperlink r:id="rId14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бухгалтерского учета для организаций государственного сектора «Учетная политика, оценочные значения и ошибки», утвержденный Приказом Минфина России от 30.12.2017 № 274н;</w:t>
      </w:r>
    </w:p>
    <w:p w14:paraId="5F264768" w14:textId="718508E8" w:rsidR="00406ADF" w:rsidRPr="00F27D30" w:rsidRDefault="00406ADF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</w:t>
      </w:r>
      <w:hyperlink r:id="rId15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бухгалтерского учета для организаций государственного сектора «События после отчетной даты», утвержденный Приказом Минфина России от 30.12.2017 № 275н;</w:t>
      </w:r>
    </w:p>
    <w:p w14:paraId="5A8E421D" w14:textId="38034BF0" w:rsidR="00406ADF" w:rsidRPr="00F27D30" w:rsidRDefault="00406ADF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</w:t>
      </w:r>
      <w:hyperlink r:id="rId16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бухгалтерского учета для организаций государственного сектора «Доходы», утвержденный Приказом Минфина России от 27.02.2018 № 32н;</w:t>
      </w:r>
    </w:p>
    <w:p w14:paraId="1E8B2A81" w14:textId="479EF3FF" w:rsidR="00406ADF" w:rsidRPr="00F27D30" w:rsidRDefault="00406ADF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 стандарт бухгалтерского учета для организаций государственного сектора «Бюджетная информация в бухгалтерской (финансовой) отчетности», утвержденный Приказом Минфина России от 28.02.2018 № 37н;</w:t>
      </w:r>
    </w:p>
    <w:p w14:paraId="5BEA53C7" w14:textId="0F303647" w:rsidR="00406ADF" w:rsidRPr="00F27D30" w:rsidRDefault="00406ADF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 стандарт бухгалтерского учета для организаций государственного сектора «Резервы. Раскрытие информации об условных обязательствах и условных активах», утвержденный Приказом Минфина России от 30.05.2018 № 124н;</w:t>
      </w:r>
    </w:p>
    <w:p w14:paraId="479CECFB" w14:textId="0A44DF1E" w:rsidR="00406ADF" w:rsidRPr="00F27D30" w:rsidRDefault="00406ADF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 стандарт бухгалтерского учета для организаций государственного сектора «Долгосрочные договоры», утвержденный Приказом Минфина России от 29.06.2018 № 145н;</w:t>
      </w:r>
    </w:p>
    <w:p w14:paraId="6A3C4467" w14:textId="7A2F7914" w:rsidR="00406ADF" w:rsidRPr="00F27D30" w:rsidRDefault="00406ADF" w:rsidP="00F27D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 стандарт бухгалтерского учета для организаций государственного сектора «Запасы», утвержденный Приказом Минфина России от 07.12.2018 № 256н;</w:t>
      </w:r>
    </w:p>
    <w:p w14:paraId="251920DA" w14:textId="5243480A" w:rsidR="00406ADF" w:rsidRPr="00F27D30" w:rsidRDefault="00406ADF" w:rsidP="00F27D30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 </w:t>
      </w:r>
      <w:hyperlink r:id="rId17" w:tooltip="Ссылка на КонсультантПлюс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 бухгалтерского учета государственных финансов «Нематериальные активы», утвержденный Приказом Минфина России от 15.11.2019 № 181н;</w:t>
      </w:r>
    </w:p>
    <w:p w14:paraId="500E0138" w14:textId="64A06079" w:rsidR="00406ADF" w:rsidRPr="00F27D30" w:rsidRDefault="00406ADF" w:rsidP="00F27D30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 </w:t>
      </w:r>
      <w:hyperlink r:id="rId18" w:tooltip="Ссылка на КонсультантПлюс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 бухгалтерского учета государственных финансов «Выплаты персоналу», утвержденный Приказом Минфина России от 15.11.2019 </w:t>
      </w:r>
      <w:r w:rsidR="00CF5AA0">
        <w:rPr>
          <w:rFonts w:ascii="Times New Roman" w:eastAsia="Times New Roman" w:hAnsi="Times New Roman" w:cs="Times New Roman"/>
          <w:sz w:val="26"/>
          <w:szCs w:val="28"/>
          <w:lang w:eastAsia="ru-RU"/>
        </w:rPr>
        <w:br/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№ 184н;</w:t>
      </w:r>
    </w:p>
    <w:p w14:paraId="445199C2" w14:textId="25DDF1B6" w:rsidR="00406ADF" w:rsidRPr="00F27D30" w:rsidRDefault="00406ADF" w:rsidP="00F27D30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 </w:t>
      </w:r>
      <w:hyperlink r:id="rId19" w:tooltip="Ссылка на КонсультантПлюс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 бухгалтерского учета государственных финансов «Финансовые инструменты», </w:t>
      </w:r>
      <w:bookmarkStart w:id="0" w:name="_Hlk109133010"/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утвержденный Приказом Минфина России от </w:t>
      </w:r>
      <w:bookmarkEnd w:id="0"/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30.06.2020 № 129н</w:t>
      </w:r>
      <w:bookmarkStart w:id="1" w:name="_Hlk109133110"/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;</w:t>
      </w:r>
      <w:bookmarkEnd w:id="1"/>
    </w:p>
    <w:p w14:paraId="09848E35" w14:textId="0A4F78E7" w:rsidR="00406ADF" w:rsidRPr="00F27D30" w:rsidRDefault="00406ADF" w:rsidP="00F27D30">
      <w:pPr>
        <w:shd w:val="clear" w:color="auto" w:fill="FFFFFF"/>
        <w:tabs>
          <w:tab w:val="left" w:pos="567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 </w:t>
      </w:r>
      <w:hyperlink r:id="rId20" w:tooltip="Ссылка на КонсультантПлюс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стандарт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 внутреннего финансового аудита «Осуществление внутреннего финансового аудита в целях подтверждения достоверности бюджетной отчетности и соответствия порядка ведения бюджетного учета единой методологии бюджетного учета, составления, представления и утверждения бюджетной отчетности», утвержденный Приказо</w:t>
      </w:r>
      <w:r w:rsidR="00D044EA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м Минфина России от 01.09.2021 №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120н;</w:t>
      </w:r>
    </w:p>
    <w:p w14:paraId="57FF7796" w14:textId="785FD3F4" w:rsidR="00062817" w:rsidRPr="00F27D30" w:rsidRDefault="00F27D30" w:rsidP="00D94110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bookmarkStart w:id="2" w:name="_Hlk216360381"/>
      <w:r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="00062817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Федеральный стандарт бухгалтерского учета государственных финансов «Единый план счетов государственных финансов», утвержденный Приказом </w:t>
      </w:r>
      <w:r w:rsidR="006E622D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Минфина России </w:t>
      </w:r>
      <w:r w:rsidR="00062817"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от 30.08.2024 № 121н;</w:t>
      </w:r>
    </w:p>
    <w:bookmarkEnd w:id="2"/>
    <w:p w14:paraId="7E9B8F07" w14:textId="7DA83664" w:rsidR="00062817" w:rsidRPr="00F27D30" w:rsidRDefault="00062817" w:rsidP="00F27D30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lastRenderedPageBreak/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Федеральный стандарт бухгалтерского учета государственных финансов «План счетов бюджетного учета», утверждённый Приказом Министерства Финансов Российской Федерации от 20.09.2024 № 132н</w:t>
      </w:r>
      <w:r w:rsid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>;</w:t>
      </w:r>
    </w:p>
    <w:p w14:paraId="1239D371" w14:textId="5FF2CB6B" w:rsidR="003F702A" w:rsidRPr="00F27D30" w:rsidRDefault="003F702A" w:rsidP="00062817">
      <w:pPr>
        <w:spacing w:after="0" w:line="276" w:lineRule="auto"/>
        <w:ind w:firstLine="567"/>
        <w:jc w:val="both"/>
        <w:rPr>
          <w:rFonts w:ascii="Times New Roman" w:hAnsi="Times New Roman" w:cs="Times New Roman"/>
          <w:kern w:val="0"/>
          <w:sz w:val="26"/>
          <w:szCs w:val="28"/>
        </w:rPr>
      </w:pPr>
      <w:r w:rsidRPr="00F27D30">
        <w:rPr>
          <w:rFonts w:ascii="Times New Roman" w:hAnsi="Times New Roman" w:cs="Times New Roman"/>
          <w:kern w:val="0"/>
          <w:sz w:val="26"/>
          <w:szCs w:val="28"/>
        </w:rPr>
        <w:t>-</w:t>
      </w:r>
      <w:r w:rsidR="00623AF3">
        <w:rPr>
          <w:rFonts w:ascii="Times New Roman" w:hAnsi="Times New Roman" w:cs="Times New Roman"/>
          <w:kern w:val="0"/>
          <w:sz w:val="26"/>
          <w:szCs w:val="28"/>
        </w:rPr>
        <w:t xml:space="preserve"> </w:t>
      </w:r>
      <w:r w:rsidRPr="006E622D">
        <w:rPr>
          <w:rFonts w:ascii="Times New Roman" w:hAnsi="Times New Roman" w:cs="Times New Roman"/>
          <w:kern w:val="0"/>
          <w:sz w:val="26"/>
          <w:szCs w:val="28"/>
        </w:rPr>
        <w:t>Приказ</w:t>
      </w:r>
      <w:r w:rsidR="006E622D" w:rsidRPr="006E622D">
        <w:rPr>
          <w:rFonts w:ascii="Times New Roman" w:hAnsi="Times New Roman" w:cs="Times New Roman"/>
          <w:kern w:val="0"/>
          <w:sz w:val="26"/>
          <w:szCs w:val="28"/>
        </w:rPr>
        <w:t xml:space="preserve"> </w:t>
      </w:r>
      <w:bookmarkStart w:id="3" w:name="_Hlk217975608"/>
      <w:r w:rsidR="006E622D" w:rsidRP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>Минфина России</w:t>
      </w:r>
      <w:r w:rsidRPr="006E622D">
        <w:rPr>
          <w:rFonts w:ascii="Times New Roman" w:hAnsi="Times New Roman" w:cs="Times New Roman"/>
          <w:kern w:val="0"/>
          <w:sz w:val="26"/>
          <w:szCs w:val="28"/>
        </w:rPr>
        <w:t xml:space="preserve"> </w:t>
      </w:r>
      <w:bookmarkEnd w:id="3"/>
      <w:r w:rsidRPr="006E622D">
        <w:rPr>
          <w:rFonts w:ascii="Times New Roman" w:hAnsi="Times New Roman" w:cs="Times New Roman"/>
          <w:kern w:val="0"/>
          <w:sz w:val="26"/>
          <w:szCs w:val="28"/>
        </w:rPr>
        <w:t xml:space="preserve">от </w:t>
      </w:r>
      <w:r w:rsidR="006E622D" w:rsidRPr="006E622D">
        <w:rPr>
          <w:rFonts w:ascii="Times New Roman" w:hAnsi="Times New Roman" w:cs="Times New Roman"/>
          <w:kern w:val="0"/>
          <w:sz w:val="26"/>
          <w:szCs w:val="28"/>
        </w:rPr>
        <w:t>30.03.2</w:t>
      </w:r>
      <w:r w:rsidRPr="006E622D">
        <w:rPr>
          <w:rFonts w:ascii="Times New Roman" w:hAnsi="Times New Roman" w:cs="Times New Roman"/>
          <w:kern w:val="0"/>
          <w:sz w:val="26"/>
          <w:szCs w:val="28"/>
        </w:rPr>
        <w:t xml:space="preserve">015 г. </w:t>
      </w:r>
      <w:r w:rsidR="006E622D" w:rsidRPr="006E622D">
        <w:rPr>
          <w:rFonts w:ascii="Times New Roman" w:hAnsi="Times New Roman" w:cs="Times New Roman"/>
          <w:kern w:val="0"/>
          <w:sz w:val="26"/>
          <w:szCs w:val="28"/>
        </w:rPr>
        <w:t>№</w:t>
      </w:r>
      <w:r w:rsidRPr="00F27D30">
        <w:rPr>
          <w:rFonts w:ascii="Times New Roman" w:hAnsi="Times New Roman" w:cs="Times New Roman"/>
          <w:kern w:val="0"/>
          <w:sz w:val="26"/>
          <w:szCs w:val="28"/>
        </w:rPr>
        <w:t xml:space="preserve">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</w:t>
      </w:r>
      <w:r w:rsidR="002E6593" w:rsidRPr="00F27D30">
        <w:rPr>
          <w:rFonts w:ascii="Times New Roman" w:hAnsi="Times New Roman" w:cs="Times New Roman"/>
          <w:kern w:val="0"/>
          <w:sz w:val="26"/>
          <w:szCs w:val="28"/>
        </w:rPr>
        <w:t>;</w:t>
      </w:r>
      <w:r w:rsidRPr="00F27D30">
        <w:rPr>
          <w:rFonts w:ascii="Times New Roman" w:hAnsi="Times New Roman" w:cs="Times New Roman"/>
          <w:kern w:val="0"/>
          <w:sz w:val="26"/>
          <w:szCs w:val="28"/>
        </w:rPr>
        <w:t xml:space="preserve"> </w:t>
      </w:r>
    </w:p>
    <w:p w14:paraId="37E9973A" w14:textId="4962A1CB" w:rsidR="003F702A" w:rsidRPr="00F27D30" w:rsidRDefault="003F702A" w:rsidP="00062817">
      <w:pPr>
        <w:spacing w:after="0" w:line="276" w:lineRule="auto"/>
        <w:ind w:firstLine="567"/>
        <w:jc w:val="both"/>
        <w:rPr>
          <w:rFonts w:ascii="Times New Roman" w:hAnsi="Times New Roman" w:cs="Times New Roman"/>
          <w:kern w:val="0"/>
          <w:sz w:val="26"/>
          <w:szCs w:val="28"/>
        </w:rPr>
      </w:pPr>
      <w:r w:rsidRPr="00F27D30">
        <w:rPr>
          <w:rFonts w:ascii="Times New Roman" w:hAnsi="Times New Roman" w:cs="Times New Roman"/>
          <w:kern w:val="0"/>
          <w:sz w:val="26"/>
          <w:szCs w:val="28"/>
        </w:rPr>
        <w:t xml:space="preserve"> -</w:t>
      </w:r>
      <w:r w:rsidR="00623AF3">
        <w:rPr>
          <w:rFonts w:ascii="Times New Roman" w:hAnsi="Times New Roman" w:cs="Times New Roman"/>
          <w:kern w:val="0"/>
          <w:sz w:val="26"/>
          <w:szCs w:val="28"/>
        </w:rPr>
        <w:t xml:space="preserve"> </w:t>
      </w:r>
      <w:r w:rsidRPr="006E622D">
        <w:rPr>
          <w:rFonts w:ascii="Times New Roman" w:hAnsi="Times New Roman" w:cs="Times New Roman"/>
          <w:kern w:val="0"/>
          <w:sz w:val="26"/>
          <w:szCs w:val="28"/>
        </w:rPr>
        <w:t>Приказ</w:t>
      </w:r>
      <w:r w:rsidR="006E622D" w:rsidRP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="006E622D" w:rsidRP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Минфина </w:t>
      </w:r>
      <w:r w:rsidR="006E622D" w:rsidRP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>России</w:t>
      </w:r>
      <w:r w:rsidR="006E622D" w:rsidRPr="006E622D">
        <w:rPr>
          <w:rFonts w:ascii="Times New Roman" w:hAnsi="Times New Roman" w:cs="Times New Roman"/>
          <w:kern w:val="0"/>
          <w:sz w:val="26"/>
          <w:szCs w:val="28"/>
        </w:rPr>
        <w:t xml:space="preserve"> от</w:t>
      </w:r>
      <w:r w:rsidRPr="006E622D">
        <w:rPr>
          <w:rFonts w:ascii="Times New Roman" w:hAnsi="Times New Roman" w:cs="Times New Roman"/>
          <w:kern w:val="0"/>
          <w:sz w:val="26"/>
          <w:szCs w:val="28"/>
        </w:rPr>
        <w:t xml:space="preserve"> </w:t>
      </w:r>
      <w:r w:rsidR="006E622D" w:rsidRPr="006E622D">
        <w:rPr>
          <w:rFonts w:ascii="Times New Roman" w:hAnsi="Times New Roman" w:cs="Times New Roman"/>
          <w:kern w:val="0"/>
          <w:sz w:val="26"/>
          <w:szCs w:val="28"/>
        </w:rPr>
        <w:t>15.04.</w:t>
      </w:r>
      <w:r w:rsidRPr="006E622D">
        <w:rPr>
          <w:rFonts w:ascii="Times New Roman" w:hAnsi="Times New Roman" w:cs="Times New Roman"/>
          <w:kern w:val="0"/>
          <w:sz w:val="26"/>
          <w:szCs w:val="28"/>
        </w:rPr>
        <w:t xml:space="preserve">2021 г. </w:t>
      </w:r>
      <w:r w:rsidR="006E622D" w:rsidRPr="006E622D">
        <w:rPr>
          <w:rFonts w:ascii="Times New Roman" w:hAnsi="Times New Roman" w:cs="Times New Roman"/>
          <w:kern w:val="0"/>
          <w:sz w:val="26"/>
          <w:szCs w:val="28"/>
        </w:rPr>
        <w:t>№</w:t>
      </w:r>
      <w:r w:rsidRPr="006E622D">
        <w:rPr>
          <w:rFonts w:ascii="Times New Roman" w:hAnsi="Times New Roman" w:cs="Times New Roman"/>
          <w:kern w:val="0"/>
          <w:sz w:val="26"/>
          <w:szCs w:val="28"/>
        </w:rPr>
        <w:t xml:space="preserve"> 61н</w:t>
      </w:r>
      <w:r w:rsidRPr="00F27D30">
        <w:rPr>
          <w:rFonts w:ascii="Times New Roman" w:hAnsi="Times New Roman" w:cs="Times New Roman"/>
          <w:kern w:val="0"/>
          <w:sz w:val="26"/>
          <w:szCs w:val="28"/>
        </w:rPr>
        <w:t xml:space="preserve">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</w:t>
      </w:r>
      <w:r w:rsidR="002E6593" w:rsidRPr="00F27D30">
        <w:rPr>
          <w:rFonts w:ascii="Times New Roman" w:hAnsi="Times New Roman" w:cs="Times New Roman"/>
          <w:kern w:val="0"/>
          <w:sz w:val="26"/>
          <w:szCs w:val="28"/>
        </w:rPr>
        <w:t>;</w:t>
      </w:r>
    </w:p>
    <w:p w14:paraId="1054051E" w14:textId="76605BC8" w:rsidR="00406ADF" w:rsidRPr="00F27D30" w:rsidRDefault="00406ADF" w:rsidP="0006281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hyperlink r:id="rId21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Инструкция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утвержденная Приказом Минфина России от 28.12.2010 № 191н;</w:t>
      </w:r>
    </w:p>
    <w:p w14:paraId="025519A2" w14:textId="69AE00D0" w:rsidR="00406ADF" w:rsidRPr="00F27D30" w:rsidRDefault="00406ADF" w:rsidP="0006281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hyperlink r:id="rId22" w:history="1">
        <w:r w:rsidRPr="00F27D30">
          <w:rPr>
            <w:rFonts w:ascii="Times New Roman" w:eastAsia="Times New Roman" w:hAnsi="Times New Roman" w:cs="Times New Roman"/>
            <w:sz w:val="26"/>
            <w:szCs w:val="28"/>
            <w:lang w:eastAsia="ru-RU"/>
          </w:rPr>
          <w:t>Порядок</w:t>
        </w:r>
      </w:hyperlink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формирования и применения кодов бюджетной классификации Российской Федерации, их структуре и принципах назначения, утвержденный Приказом Минфина России от 24.05.2022 № 82н;</w:t>
      </w:r>
    </w:p>
    <w:p w14:paraId="15C50524" w14:textId="536220D3" w:rsidR="00406ADF" w:rsidRDefault="00406ADF" w:rsidP="00062817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-</w:t>
      </w:r>
      <w:r w:rsidR="00623AF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Pr="00F27D30">
        <w:rPr>
          <w:rFonts w:ascii="Times New Roman" w:eastAsia="Times New Roman" w:hAnsi="Times New Roman" w:cs="Times New Roman"/>
          <w:sz w:val="26"/>
          <w:szCs w:val="28"/>
          <w:lang w:eastAsia="ru-RU"/>
        </w:rPr>
        <w:t>Порядок применения классификации операций сектора государственного управления, утвержденный Приказом Минфина России от 29.11.2017 № 209н.</w:t>
      </w:r>
    </w:p>
    <w:p w14:paraId="1B1F7D6D" w14:textId="77777777" w:rsidR="00DF3AC7" w:rsidRPr="00F27D30" w:rsidRDefault="00DF3AC7" w:rsidP="00DF3AC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E622D">
        <w:rPr>
          <w:rFonts w:ascii="Times New Roman" w:eastAsia="Times New Roman" w:hAnsi="Times New Roman" w:cs="Times New Roman"/>
          <w:sz w:val="26"/>
          <w:szCs w:val="28"/>
          <w:lang w:eastAsia="ru-RU"/>
        </w:rPr>
        <w:t>Ввиду отсутствия у главного администратора (распорядителя) средств бюджета Контрольно-счетной палаты периметра консолидации (подведомственных учреждений) федеральные стандарты бухгалтерского учета государственных финансов «Консолидированная бухгалтерская (финансовая) отчетность» и «Сведения о показателях бухгалтерской (финансовой) отчетности по сегментам» не применяются.</w:t>
      </w:r>
    </w:p>
    <w:p w14:paraId="2A5526AE" w14:textId="529B951F" w:rsidR="00E92FFE" w:rsidRPr="00F27D30" w:rsidRDefault="00E92FFE" w:rsidP="00062817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       Учетная политика определяет следующие особенности:</w:t>
      </w:r>
    </w:p>
    <w:p w14:paraId="1FB9A579" w14:textId="28DDF681" w:rsidR="00E92FFE" w:rsidRPr="00F27D30" w:rsidRDefault="00D72859" w:rsidP="00062817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     </w:t>
      </w:r>
      <w:r w:rsidR="00E92FFE" w:rsidRPr="00F27D30">
        <w:rPr>
          <w:rFonts w:ascii="Times New Roman" w:hAnsi="Times New Roman" w:cs="Times New Roman"/>
          <w:sz w:val="26"/>
          <w:szCs w:val="28"/>
          <w:lang w:eastAsia="ru-RU"/>
        </w:rPr>
        <w:t>1)</w:t>
      </w:r>
      <w:r w:rsidR="00F27D30">
        <w:rPr>
          <w:rFonts w:ascii="Times New Roman" w:hAnsi="Times New Roman" w:cs="Times New Roman"/>
          <w:sz w:val="26"/>
          <w:szCs w:val="28"/>
          <w:lang w:eastAsia="ru-RU"/>
        </w:rPr>
        <w:t xml:space="preserve"> </w:t>
      </w:r>
      <w:r w:rsidR="00E92FFE" w:rsidRPr="00F27D30">
        <w:rPr>
          <w:rFonts w:ascii="Times New Roman" w:hAnsi="Times New Roman" w:cs="Times New Roman"/>
          <w:sz w:val="26"/>
          <w:szCs w:val="28"/>
          <w:lang w:eastAsia="ru-RU"/>
        </w:rPr>
        <w:t>основные способы ведения бухгалтерского учета</w:t>
      </w:r>
      <w:r w:rsidR="002E6593" w:rsidRPr="00F27D30">
        <w:rPr>
          <w:rFonts w:ascii="Times New Roman" w:hAnsi="Times New Roman" w:cs="Times New Roman"/>
          <w:sz w:val="26"/>
          <w:szCs w:val="28"/>
          <w:lang w:eastAsia="ru-RU"/>
        </w:rPr>
        <w:t>,</w:t>
      </w:r>
      <w:r w:rsidR="00E92FFE"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совершаемых фактов хозяйственной жизни, необходимые для организации ведения бухгалтерского учета и формирования бухгалтерской (финансовой) отчетности субъектов централизованного учета;</w:t>
      </w:r>
    </w:p>
    <w:p w14:paraId="300DD8A4" w14:textId="1C4BC8CC" w:rsidR="00E92FFE" w:rsidRPr="00F27D30" w:rsidRDefault="00D72859" w:rsidP="00062817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     </w:t>
      </w:r>
      <w:r w:rsidR="00E92FFE" w:rsidRPr="00F27D30">
        <w:rPr>
          <w:rFonts w:ascii="Times New Roman" w:hAnsi="Times New Roman" w:cs="Times New Roman"/>
          <w:sz w:val="26"/>
          <w:szCs w:val="28"/>
          <w:lang w:eastAsia="ru-RU"/>
        </w:rPr>
        <w:t>2) методы оценки объектов бухгалтерского учета;</w:t>
      </w:r>
    </w:p>
    <w:p w14:paraId="5B1CA24D" w14:textId="2CEE0504" w:rsidR="00E92FFE" w:rsidRPr="00F27D30" w:rsidRDefault="00D72859" w:rsidP="00062817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     </w:t>
      </w:r>
      <w:r w:rsidR="00E92FFE" w:rsidRPr="00F27D30">
        <w:rPr>
          <w:rFonts w:ascii="Times New Roman" w:hAnsi="Times New Roman" w:cs="Times New Roman"/>
          <w:sz w:val="26"/>
          <w:szCs w:val="28"/>
          <w:lang w:eastAsia="ru-RU"/>
        </w:rPr>
        <w:t>3) порядок признания (постановки на учет) и прекращения признания (выбытия из учета) объектов бухгалтерского учета, порядок раскрытия информации о них в бухгалтерской (финансовой) отчетности;</w:t>
      </w:r>
    </w:p>
    <w:p w14:paraId="489E5DD5" w14:textId="0F8F9AAF" w:rsidR="00173398" w:rsidRPr="00F27D30" w:rsidRDefault="00D72859" w:rsidP="00062817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     </w:t>
      </w:r>
      <w:r w:rsidR="00173398" w:rsidRPr="00F27D30">
        <w:rPr>
          <w:rFonts w:ascii="Times New Roman" w:hAnsi="Times New Roman" w:cs="Times New Roman"/>
          <w:sz w:val="26"/>
          <w:szCs w:val="28"/>
          <w:lang w:eastAsia="ru-RU"/>
        </w:rPr>
        <w:t>4) порядок признания в бухгалтерском учете и раскрытия в бухгалтерской (финансовой) отчетности событий после отчетной даты, в том числе предельную дату представления первичных учетных документов для раскрытия данных о событиях после отчетной даты в учете и (или) в годовой бухгалтерской (финансовой) отчетности;</w:t>
      </w:r>
    </w:p>
    <w:p w14:paraId="7E827F87" w14:textId="19D4A72D" w:rsidR="00173398" w:rsidRPr="00F27D30" w:rsidRDefault="00D72859" w:rsidP="00062817">
      <w:pPr>
        <w:spacing w:after="0" w:line="276" w:lineRule="auto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lastRenderedPageBreak/>
        <w:t xml:space="preserve">        </w:t>
      </w:r>
      <w:r w:rsidR="00173398" w:rsidRPr="00F27D30">
        <w:rPr>
          <w:rFonts w:ascii="Times New Roman" w:hAnsi="Times New Roman" w:cs="Times New Roman"/>
          <w:sz w:val="26"/>
          <w:szCs w:val="28"/>
          <w:lang w:eastAsia="ru-RU"/>
        </w:rPr>
        <w:t>5) иные особенности, относящиеся к ведению бухгалтерского учета.</w:t>
      </w:r>
    </w:p>
    <w:p w14:paraId="6F63655C" w14:textId="7D307340" w:rsidR="00173398" w:rsidRPr="00F27D30" w:rsidRDefault="00173398" w:rsidP="0006281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>Обработка учетной информации осуществляется с использованием программного продукта «1C: Предприятие».</w:t>
      </w:r>
    </w:p>
    <w:p w14:paraId="53347C6C" w14:textId="2250FC8C" w:rsidR="00173398" w:rsidRPr="00F27D30" w:rsidRDefault="00173398" w:rsidP="0006281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>Электронный документооборот осуществляется с использованием информационно-телекоммуникационной сети «Интернет» по следующим направлениям</w:t>
      </w:r>
      <w:r w:rsidR="00DF3AC7">
        <w:rPr>
          <w:rFonts w:ascii="Times New Roman" w:hAnsi="Times New Roman" w:cs="Times New Roman"/>
          <w:sz w:val="26"/>
          <w:szCs w:val="28"/>
          <w:lang w:eastAsia="ru-RU"/>
        </w:rPr>
        <w:t xml:space="preserve"> с</w:t>
      </w:r>
      <w:r w:rsidRPr="00F27D30">
        <w:rPr>
          <w:rFonts w:ascii="Times New Roman" w:hAnsi="Times New Roman" w:cs="Times New Roman"/>
          <w:sz w:val="26"/>
          <w:szCs w:val="28"/>
          <w:lang w:eastAsia="ru-RU"/>
        </w:rPr>
        <w:t>:</w:t>
      </w:r>
    </w:p>
    <w:p w14:paraId="1F961AC5" w14:textId="4D43D789" w:rsidR="00173398" w:rsidRPr="00F27D30" w:rsidRDefault="00E92FFE" w:rsidP="00F27D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>-</w:t>
      </w:r>
      <w:r w:rsidR="00F27D30">
        <w:rPr>
          <w:rFonts w:ascii="Times New Roman" w:hAnsi="Times New Roman" w:cs="Times New Roman"/>
          <w:sz w:val="26"/>
          <w:szCs w:val="28"/>
          <w:lang w:eastAsia="ru-RU"/>
        </w:rPr>
        <w:t xml:space="preserve"> </w:t>
      </w:r>
      <w:r w:rsidR="006E622D">
        <w:rPr>
          <w:rFonts w:ascii="Times New Roman" w:hAnsi="Times New Roman" w:cs="Times New Roman"/>
          <w:sz w:val="26"/>
          <w:szCs w:val="28"/>
          <w:lang w:eastAsia="ru-RU"/>
        </w:rPr>
        <w:t xml:space="preserve"> </w:t>
      </w:r>
      <w:r w:rsidR="00173398" w:rsidRPr="00F27D30">
        <w:rPr>
          <w:rFonts w:ascii="Times New Roman" w:hAnsi="Times New Roman" w:cs="Times New Roman"/>
          <w:sz w:val="26"/>
          <w:szCs w:val="28"/>
          <w:lang w:eastAsia="ru-RU"/>
        </w:rPr>
        <w:t>Управлением Федерального казначейства по Республике Карелия посредством системы удаленного финансового документооборота (СУФД);</w:t>
      </w:r>
    </w:p>
    <w:p w14:paraId="5C8DC1BE" w14:textId="1A49FC20" w:rsidR="00173398" w:rsidRPr="00F27D30" w:rsidRDefault="00E92FFE" w:rsidP="00CF5AA0">
      <w:pPr>
        <w:tabs>
          <w:tab w:val="left" w:pos="284"/>
          <w:tab w:val="left" w:pos="567"/>
          <w:tab w:val="left" w:pos="709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6E622D">
        <w:rPr>
          <w:rFonts w:ascii="Times New Roman" w:hAnsi="Times New Roman" w:cs="Times New Roman"/>
          <w:sz w:val="26"/>
          <w:szCs w:val="28"/>
          <w:lang w:eastAsia="ru-RU"/>
        </w:rPr>
        <w:t>-</w:t>
      </w:r>
      <w:r w:rsidR="006E622D" w:rsidRPr="006E622D">
        <w:rPr>
          <w:rFonts w:ascii="Times New Roman" w:hAnsi="Times New Roman" w:cs="Times New Roman"/>
          <w:sz w:val="26"/>
          <w:szCs w:val="28"/>
          <w:lang w:eastAsia="ru-RU"/>
        </w:rPr>
        <w:t xml:space="preserve"> </w:t>
      </w:r>
      <w:r w:rsidR="00173398" w:rsidRPr="006E622D">
        <w:rPr>
          <w:rFonts w:ascii="Times New Roman" w:hAnsi="Times New Roman" w:cs="Times New Roman"/>
          <w:sz w:val="26"/>
          <w:szCs w:val="28"/>
          <w:lang w:eastAsia="ru-RU"/>
        </w:rPr>
        <w:t>Администраци</w:t>
      </w:r>
      <w:r w:rsidR="006E622D" w:rsidRPr="006E622D">
        <w:rPr>
          <w:rFonts w:ascii="Times New Roman" w:hAnsi="Times New Roman" w:cs="Times New Roman"/>
          <w:sz w:val="26"/>
          <w:szCs w:val="28"/>
          <w:lang w:eastAsia="ru-RU"/>
        </w:rPr>
        <w:t>ей</w:t>
      </w:r>
      <w:r w:rsidR="00173398" w:rsidRPr="006E622D">
        <w:rPr>
          <w:rFonts w:ascii="Times New Roman" w:hAnsi="Times New Roman" w:cs="Times New Roman"/>
          <w:sz w:val="26"/>
          <w:szCs w:val="28"/>
          <w:lang w:eastAsia="ru-RU"/>
        </w:rPr>
        <w:t> Петрозаводского городского округа посредством программного комплекса «Свод-Смарт»</w:t>
      </w:r>
      <w:r w:rsidR="006E622D" w:rsidRPr="006E622D">
        <w:rPr>
          <w:rFonts w:ascii="Times New Roman" w:hAnsi="Times New Roman" w:cs="Times New Roman"/>
          <w:sz w:val="26"/>
          <w:szCs w:val="28"/>
          <w:lang w:eastAsia="ru-RU"/>
        </w:rPr>
        <w:t xml:space="preserve"> (</w:t>
      </w:r>
      <w:r w:rsidR="006E622D" w:rsidRPr="006E622D">
        <w:rPr>
          <w:rFonts w:ascii="Times New Roman" w:hAnsi="Times New Roman" w:cs="Times New Roman"/>
          <w:sz w:val="26"/>
          <w:szCs w:val="28"/>
          <w:lang w:eastAsia="ru-RU"/>
        </w:rPr>
        <w:t>предоставление отчетности в комитет финансов</w:t>
      </w:r>
      <w:r w:rsidR="006E622D" w:rsidRPr="006E622D">
        <w:rPr>
          <w:rFonts w:ascii="Times New Roman" w:hAnsi="Times New Roman" w:cs="Times New Roman"/>
          <w:sz w:val="26"/>
          <w:szCs w:val="28"/>
          <w:lang w:eastAsia="ru-RU"/>
        </w:rPr>
        <w:t>);</w:t>
      </w:r>
    </w:p>
    <w:p w14:paraId="454E8F7B" w14:textId="51C1A699" w:rsidR="00173398" w:rsidRPr="00F27D30" w:rsidRDefault="00E92FFE" w:rsidP="00F27D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-</w:t>
      </w:r>
      <w:r w:rsidR="00F27D30">
        <w:rPr>
          <w:rFonts w:ascii="Times New Roman" w:hAnsi="Times New Roman" w:cs="Times New Roman"/>
          <w:sz w:val="26"/>
          <w:szCs w:val="28"/>
          <w:lang w:eastAsia="ru-RU"/>
        </w:rPr>
        <w:t xml:space="preserve"> </w:t>
      </w:r>
      <w:r w:rsidR="006E622D">
        <w:rPr>
          <w:rFonts w:ascii="Times New Roman" w:hAnsi="Times New Roman" w:cs="Times New Roman"/>
          <w:sz w:val="26"/>
          <w:szCs w:val="28"/>
          <w:lang w:eastAsia="ru-RU"/>
        </w:rPr>
        <w:t xml:space="preserve"> </w:t>
      </w:r>
      <w:r w:rsidR="00173398"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Инспекцией Федеральной налоговой службы по г. Петрозаводску, </w:t>
      </w:r>
      <w:r w:rsidR="00D508AF" w:rsidRPr="00F27D30">
        <w:rPr>
          <w:rFonts w:ascii="Times New Roman" w:hAnsi="Times New Roman" w:cs="Times New Roman"/>
          <w:sz w:val="26"/>
          <w:szCs w:val="28"/>
          <w:lang w:eastAsia="ru-RU"/>
        </w:rPr>
        <w:t>Отделением социального фонда России по Республике Карелия</w:t>
      </w:r>
      <w:r w:rsidR="00D72859" w:rsidRPr="00F27D30">
        <w:rPr>
          <w:rFonts w:ascii="Times New Roman" w:hAnsi="Times New Roman" w:cs="Times New Roman"/>
          <w:sz w:val="26"/>
          <w:szCs w:val="28"/>
          <w:lang w:eastAsia="ru-RU"/>
        </w:rPr>
        <w:t>, Территориальным органом Федеральной службы государственной статистики по Республике Карелия</w:t>
      </w:r>
      <w:r w:rsidR="00173398"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посредством </w:t>
      </w:r>
      <w:r w:rsidR="00D72859" w:rsidRPr="00F27D30">
        <w:rPr>
          <w:rFonts w:ascii="Times New Roman" w:hAnsi="Times New Roman" w:cs="Times New Roman"/>
          <w:color w:val="000000"/>
          <w:sz w:val="26"/>
          <w:szCs w:val="28"/>
        </w:rPr>
        <w:t>программного продукта «1C</w:t>
      </w:r>
      <w:r w:rsidR="00D72859" w:rsidRPr="006E622D">
        <w:rPr>
          <w:rFonts w:ascii="Times New Roman" w:hAnsi="Times New Roman" w:cs="Times New Roman"/>
          <w:color w:val="000000"/>
          <w:sz w:val="26"/>
          <w:szCs w:val="28"/>
        </w:rPr>
        <w:t>-</w:t>
      </w:r>
      <w:r w:rsidR="00DF3AC7" w:rsidRPr="006E622D">
        <w:rPr>
          <w:rFonts w:ascii="Times New Roman" w:hAnsi="Times New Roman" w:cs="Times New Roman"/>
          <w:color w:val="000000"/>
          <w:sz w:val="26"/>
          <w:szCs w:val="28"/>
        </w:rPr>
        <w:t>О</w:t>
      </w:r>
      <w:r w:rsidR="00D72859" w:rsidRPr="006E622D">
        <w:rPr>
          <w:rFonts w:ascii="Times New Roman" w:hAnsi="Times New Roman" w:cs="Times New Roman"/>
          <w:color w:val="000000"/>
          <w:sz w:val="26"/>
          <w:szCs w:val="28"/>
        </w:rPr>
        <w:t>тчетность</w:t>
      </w:r>
      <w:r w:rsidR="00173398" w:rsidRPr="006E622D">
        <w:rPr>
          <w:rFonts w:ascii="Times New Roman" w:hAnsi="Times New Roman" w:cs="Times New Roman"/>
          <w:sz w:val="26"/>
          <w:szCs w:val="28"/>
          <w:lang w:eastAsia="ru-RU"/>
        </w:rPr>
        <w:t>;</w:t>
      </w:r>
    </w:p>
    <w:p w14:paraId="37F61841" w14:textId="1BB313BC" w:rsidR="00173398" w:rsidRPr="00F27D30" w:rsidRDefault="00262C17" w:rsidP="00F27D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 w:rsidRPr="00F27D30">
        <w:rPr>
          <w:rFonts w:ascii="Times New Roman" w:hAnsi="Times New Roman" w:cs="Times New Roman"/>
          <w:sz w:val="26"/>
          <w:szCs w:val="28"/>
          <w:lang w:eastAsia="ru-RU"/>
        </w:rPr>
        <w:t>-</w:t>
      </w:r>
      <w:r w:rsidR="00F27D30">
        <w:rPr>
          <w:rFonts w:ascii="Times New Roman" w:hAnsi="Times New Roman" w:cs="Times New Roman"/>
          <w:sz w:val="26"/>
          <w:szCs w:val="28"/>
          <w:lang w:eastAsia="ru-RU"/>
        </w:rPr>
        <w:t xml:space="preserve"> </w:t>
      </w:r>
      <w:r w:rsidR="006E622D">
        <w:rPr>
          <w:rFonts w:ascii="Times New Roman" w:hAnsi="Times New Roman" w:cs="Times New Roman"/>
          <w:sz w:val="26"/>
          <w:szCs w:val="28"/>
          <w:lang w:eastAsia="ru-RU"/>
        </w:rPr>
        <w:t xml:space="preserve">    </w:t>
      </w:r>
      <w:r w:rsidR="00173398" w:rsidRPr="00F27D30">
        <w:rPr>
          <w:rFonts w:ascii="Times New Roman" w:hAnsi="Times New Roman" w:cs="Times New Roman"/>
          <w:sz w:val="26"/>
          <w:szCs w:val="28"/>
          <w:lang w:eastAsia="ru-RU"/>
        </w:rPr>
        <w:t>Северо-Западным банком ПАО «Сбербанк» посредством программного обеспечения «</w:t>
      </w:r>
      <w:r w:rsidR="00C31F37" w:rsidRPr="00F27D30">
        <w:rPr>
          <w:rFonts w:ascii="Times New Roman" w:hAnsi="Times New Roman" w:cs="Times New Roman"/>
          <w:sz w:val="26"/>
          <w:szCs w:val="28"/>
          <w:lang w:eastAsia="ru-RU"/>
        </w:rPr>
        <w:t>Сбербизнес</w:t>
      </w:r>
      <w:r w:rsidR="00173398" w:rsidRPr="00F27D30">
        <w:rPr>
          <w:rFonts w:ascii="Times New Roman" w:hAnsi="Times New Roman" w:cs="Times New Roman"/>
          <w:sz w:val="26"/>
          <w:szCs w:val="28"/>
          <w:lang w:eastAsia="ru-RU"/>
        </w:rPr>
        <w:t>»;</w:t>
      </w:r>
    </w:p>
    <w:p w14:paraId="78EA3825" w14:textId="0C0008D7" w:rsidR="00E92FFE" w:rsidRPr="00F27D30" w:rsidRDefault="00F27D30" w:rsidP="00F27D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6"/>
          <w:szCs w:val="28"/>
          <w:lang w:eastAsia="ru-RU"/>
        </w:rPr>
      </w:pPr>
      <w:r>
        <w:rPr>
          <w:rFonts w:ascii="Times New Roman" w:hAnsi="Times New Roman" w:cs="Times New Roman"/>
          <w:sz w:val="26"/>
          <w:szCs w:val="28"/>
          <w:lang w:eastAsia="ru-RU"/>
        </w:rPr>
        <w:t xml:space="preserve">- </w:t>
      </w:r>
      <w:r w:rsidR="006E622D">
        <w:rPr>
          <w:rFonts w:ascii="Times New Roman" w:hAnsi="Times New Roman" w:cs="Times New Roman"/>
          <w:sz w:val="26"/>
          <w:szCs w:val="28"/>
          <w:lang w:eastAsia="ru-RU"/>
        </w:rPr>
        <w:t xml:space="preserve">     </w:t>
      </w:r>
      <w:r w:rsidR="00E92FFE"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 ПАО </w:t>
      </w:r>
      <w:r w:rsidR="00C31F37" w:rsidRPr="00F27D30">
        <w:rPr>
          <w:rFonts w:ascii="Times New Roman" w:hAnsi="Times New Roman" w:cs="Times New Roman"/>
          <w:sz w:val="26"/>
          <w:szCs w:val="28"/>
          <w:lang w:eastAsia="ru-RU"/>
        </w:rPr>
        <w:t xml:space="preserve">банк ВТБ </w:t>
      </w:r>
      <w:r w:rsidR="00E92FFE" w:rsidRPr="00F27D30">
        <w:rPr>
          <w:rFonts w:ascii="Times New Roman" w:hAnsi="Times New Roman" w:cs="Times New Roman"/>
          <w:sz w:val="26"/>
          <w:szCs w:val="28"/>
          <w:lang w:eastAsia="ru-RU"/>
        </w:rPr>
        <w:t>посредством программного обеспечения «</w:t>
      </w:r>
      <w:r w:rsidR="00C31F37" w:rsidRPr="00F27D30">
        <w:rPr>
          <w:rFonts w:ascii="Times New Roman" w:hAnsi="Times New Roman" w:cs="Times New Roman"/>
          <w:sz w:val="26"/>
          <w:szCs w:val="28"/>
          <w:lang w:eastAsia="ru-RU"/>
        </w:rPr>
        <w:t>Бизнес платформа ВТБ</w:t>
      </w:r>
      <w:r w:rsidR="00E92FFE" w:rsidRPr="00F27D30">
        <w:rPr>
          <w:rFonts w:ascii="Times New Roman" w:hAnsi="Times New Roman" w:cs="Times New Roman"/>
          <w:sz w:val="26"/>
          <w:szCs w:val="28"/>
          <w:lang w:eastAsia="ru-RU"/>
        </w:rPr>
        <w:t>»</w:t>
      </w:r>
      <w:r w:rsidR="00262C17" w:rsidRPr="00F27D30">
        <w:rPr>
          <w:rFonts w:ascii="Times New Roman" w:hAnsi="Times New Roman" w:cs="Times New Roman"/>
          <w:sz w:val="26"/>
          <w:szCs w:val="28"/>
          <w:lang w:eastAsia="ru-RU"/>
        </w:rPr>
        <w:t>.</w:t>
      </w:r>
    </w:p>
    <w:p w14:paraId="47573BB6" w14:textId="7A175712" w:rsidR="00572384" w:rsidRPr="00F27D30" w:rsidRDefault="00D044EA" w:rsidP="0006281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kern w:val="0"/>
          <w:sz w:val="26"/>
          <w:szCs w:val="28"/>
        </w:rPr>
      </w:pPr>
      <w:r w:rsidRPr="00F27D30">
        <w:rPr>
          <w:rFonts w:ascii="Times New Roman" w:hAnsi="Times New Roman" w:cs="Times New Roman"/>
          <w:kern w:val="0"/>
          <w:sz w:val="26"/>
          <w:szCs w:val="28"/>
        </w:rPr>
        <w:t xml:space="preserve">     Основные положения У</w:t>
      </w:r>
      <w:r w:rsidR="00262C17" w:rsidRPr="00F27D30">
        <w:rPr>
          <w:rFonts w:ascii="Times New Roman" w:hAnsi="Times New Roman" w:cs="Times New Roman"/>
          <w:kern w:val="0"/>
          <w:sz w:val="26"/>
          <w:szCs w:val="28"/>
        </w:rPr>
        <w:t>четной политики, раскрывающие особенности отражения в бюджетном учете</w:t>
      </w:r>
      <w:r w:rsidRPr="00F27D30">
        <w:rPr>
          <w:rFonts w:ascii="Times New Roman" w:hAnsi="Times New Roman" w:cs="Times New Roman"/>
          <w:kern w:val="0"/>
          <w:sz w:val="26"/>
          <w:szCs w:val="28"/>
        </w:rPr>
        <w:t xml:space="preserve"> Контрольно-счетной палаты</w:t>
      </w:r>
      <w:r w:rsidR="00262C17" w:rsidRPr="00F27D30">
        <w:rPr>
          <w:rFonts w:ascii="Times New Roman" w:hAnsi="Times New Roman" w:cs="Times New Roman"/>
          <w:kern w:val="0"/>
          <w:sz w:val="26"/>
          <w:szCs w:val="28"/>
        </w:rPr>
        <w:t xml:space="preserve"> операций с активами и обязательствами</w:t>
      </w:r>
      <w:r w:rsidRPr="00F27D30">
        <w:rPr>
          <w:rFonts w:ascii="Times New Roman" w:hAnsi="Times New Roman" w:cs="Times New Roman"/>
          <w:kern w:val="0"/>
          <w:sz w:val="26"/>
          <w:szCs w:val="28"/>
        </w:rPr>
        <w:t>, отражены в таблице</w:t>
      </w:r>
      <w:r w:rsidR="007F5295" w:rsidRPr="00F27D30">
        <w:rPr>
          <w:rFonts w:ascii="Times New Roman" w:hAnsi="Times New Roman" w:cs="Times New Roman"/>
          <w:kern w:val="0"/>
          <w:sz w:val="26"/>
          <w:szCs w:val="28"/>
        </w:rPr>
        <w:t xml:space="preserve"> № 1.</w:t>
      </w:r>
    </w:p>
    <w:p w14:paraId="1BE8C440" w14:textId="77777777" w:rsidR="00572384" w:rsidRDefault="00572384" w:rsidP="005446F9">
      <w:pPr>
        <w:autoSpaceDE w:val="0"/>
        <w:autoSpaceDN w:val="0"/>
        <w:adjustRightInd w:val="0"/>
        <w:spacing w:after="0" w:line="390" w:lineRule="atLeast"/>
        <w:jc w:val="both"/>
        <w:rPr>
          <w:rFonts w:ascii="Times New Roman" w:hAnsi="Times New Roman" w:cs="Times New Roman"/>
          <w:kern w:val="0"/>
          <w:sz w:val="28"/>
          <w:szCs w:val="28"/>
        </w:rPr>
        <w:sectPr w:rsidR="00572384" w:rsidSect="00262C17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14:paraId="7D091208" w14:textId="20A636CE" w:rsidR="00572384" w:rsidRPr="00572384" w:rsidRDefault="00572384" w:rsidP="00572384">
      <w:pPr>
        <w:autoSpaceDE w:val="0"/>
        <w:autoSpaceDN w:val="0"/>
        <w:adjustRightInd w:val="0"/>
        <w:spacing w:after="0" w:line="390" w:lineRule="atLeast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572384">
        <w:rPr>
          <w:rFonts w:ascii="Times New Roman" w:hAnsi="Times New Roman" w:cs="Times New Roman"/>
          <w:kern w:val="0"/>
          <w:sz w:val="24"/>
          <w:szCs w:val="24"/>
        </w:rPr>
        <w:lastRenderedPageBreak/>
        <w:t>Таблица № 1</w:t>
      </w:r>
    </w:p>
    <w:p w14:paraId="6005C2CD" w14:textId="77777777" w:rsidR="00572384" w:rsidRDefault="00572384" w:rsidP="00572384">
      <w:pPr>
        <w:autoSpaceDE w:val="0"/>
        <w:autoSpaceDN w:val="0"/>
        <w:adjustRightInd w:val="0"/>
        <w:spacing w:after="0" w:line="390" w:lineRule="atLeast"/>
        <w:jc w:val="center"/>
        <w:rPr>
          <w:rFonts w:ascii="Times New Roman" w:hAnsi="Times New Roman" w:cs="Times New Roman"/>
          <w:b/>
          <w:kern w:val="0"/>
          <w:sz w:val="28"/>
          <w:szCs w:val="28"/>
        </w:rPr>
      </w:pPr>
    </w:p>
    <w:p w14:paraId="789A8B35" w14:textId="06260E8E" w:rsidR="00572384" w:rsidRPr="00572384" w:rsidRDefault="00572384" w:rsidP="00572384">
      <w:pPr>
        <w:autoSpaceDE w:val="0"/>
        <w:autoSpaceDN w:val="0"/>
        <w:adjustRightInd w:val="0"/>
        <w:spacing w:after="0" w:line="390" w:lineRule="atLeast"/>
        <w:jc w:val="center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572384">
        <w:rPr>
          <w:rFonts w:ascii="Times New Roman" w:hAnsi="Times New Roman" w:cs="Times New Roman"/>
          <w:b/>
          <w:kern w:val="0"/>
          <w:sz w:val="28"/>
          <w:szCs w:val="28"/>
        </w:rPr>
        <w:t>Сведения об основных положениях учетной политики</w:t>
      </w:r>
    </w:p>
    <w:tbl>
      <w:tblPr>
        <w:tblpPr w:leftFromText="180" w:rightFromText="180" w:vertAnchor="text" w:horzAnchor="margin" w:tblpXSpec="center" w:tblpY="297"/>
        <w:tblW w:w="15242" w:type="dxa"/>
        <w:tblLook w:val="04A0" w:firstRow="1" w:lastRow="0" w:firstColumn="1" w:lastColumn="0" w:noHBand="0" w:noVBand="1"/>
      </w:tblPr>
      <w:tblGrid>
        <w:gridCol w:w="5"/>
        <w:gridCol w:w="243"/>
        <w:gridCol w:w="246"/>
        <w:gridCol w:w="246"/>
        <w:gridCol w:w="259"/>
        <w:gridCol w:w="1"/>
        <w:gridCol w:w="258"/>
        <w:gridCol w:w="1"/>
        <w:gridCol w:w="233"/>
        <w:gridCol w:w="1"/>
        <w:gridCol w:w="233"/>
        <w:gridCol w:w="1"/>
        <w:gridCol w:w="233"/>
        <w:gridCol w:w="1"/>
        <w:gridCol w:w="233"/>
        <w:gridCol w:w="1"/>
        <w:gridCol w:w="233"/>
        <w:gridCol w:w="1"/>
        <w:gridCol w:w="123"/>
        <w:gridCol w:w="110"/>
        <w:gridCol w:w="1"/>
        <w:gridCol w:w="233"/>
        <w:gridCol w:w="1"/>
        <w:gridCol w:w="235"/>
        <w:gridCol w:w="1"/>
        <w:gridCol w:w="235"/>
        <w:gridCol w:w="1"/>
        <w:gridCol w:w="234"/>
        <w:gridCol w:w="234"/>
        <w:gridCol w:w="1"/>
        <w:gridCol w:w="233"/>
        <w:gridCol w:w="2"/>
        <w:gridCol w:w="232"/>
        <w:gridCol w:w="3"/>
        <w:gridCol w:w="231"/>
        <w:gridCol w:w="4"/>
        <w:gridCol w:w="230"/>
        <w:gridCol w:w="5"/>
        <w:gridCol w:w="44"/>
        <w:gridCol w:w="185"/>
        <w:gridCol w:w="6"/>
        <w:gridCol w:w="228"/>
        <w:gridCol w:w="7"/>
        <w:gridCol w:w="227"/>
        <w:gridCol w:w="8"/>
        <w:gridCol w:w="226"/>
        <w:gridCol w:w="9"/>
        <w:gridCol w:w="225"/>
        <w:gridCol w:w="10"/>
        <w:gridCol w:w="239"/>
        <w:gridCol w:w="11"/>
        <w:gridCol w:w="238"/>
        <w:gridCol w:w="12"/>
        <w:gridCol w:w="222"/>
        <w:gridCol w:w="13"/>
        <w:gridCol w:w="221"/>
        <w:gridCol w:w="14"/>
        <w:gridCol w:w="220"/>
        <w:gridCol w:w="15"/>
        <w:gridCol w:w="219"/>
        <w:gridCol w:w="16"/>
        <w:gridCol w:w="233"/>
        <w:gridCol w:w="17"/>
        <w:gridCol w:w="232"/>
        <w:gridCol w:w="18"/>
        <w:gridCol w:w="216"/>
        <w:gridCol w:w="19"/>
        <w:gridCol w:w="215"/>
        <w:gridCol w:w="20"/>
        <w:gridCol w:w="229"/>
        <w:gridCol w:w="21"/>
        <w:gridCol w:w="228"/>
        <w:gridCol w:w="22"/>
        <w:gridCol w:w="212"/>
        <w:gridCol w:w="23"/>
        <w:gridCol w:w="211"/>
        <w:gridCol w:w="24"/>
        <w:gridCol w:w="212"/>
        <w:gridCol w:w="24"/>
        <w:gridCol w:w="212"/>
        <w:gridCol w:w="24"/>
        <w:gridCol w:w="210"/>
        <w:gridCol w:w="25"/>
        <w:gridCol w:w="209"/>
        <w:gridCol w:w="26"/>
        <w:gridCol w:w="208"/>
        <w:gridCol w:w="27"/>
        <w:gridCol w:w="207"/>
        <w:gridCol w:w="28"/>
        <w:gridCol w:w="206"/>
        <w:gridCol w:w="29"/>
        <w:gridCol w:w="205"/>
        <w:gridCol w:w="30"/>
        <w:gridCol w:w="204"/>
        <w:gridCol w:w="31"/>
        <w:gridCol w:w="203"/>
        <w:gridCol w:w="32"/>
        <w:gridCol w:w="202"/>
        <w:gridCol w:w="33"/>
        <w:gridCol w:w="201"/>
        <w:gridCol w:w="34"/>
        <w:gridCol w:w="200"/>
        <w:gridCol w:w="35"/>
        <w:gridCol w:w="199"/>
        <w:gridCol w:w="36"/>
        <w:gridCol w:w="198"/>
        <w:gridCol w:w="37"/>
        <w:gridCol w:w="197"/>
        <w:gridCol w:w="38"/>
        <w:gridCol w:w="196"/>
        <w:gridCol w:w="39"/>
        <w:gridCol w:w="195"/>
        <w:gridCol w:w="40"/>
        <w:gridCol w:w="194"/>
        <w:gridCol w:w="41"/>
        <w:gridCol w:w="193"/>
        <w:gridCol w:w="42"/>
        <w:gridCol w:w="192"/>
        <w:gridCol w:w="43"/>
        <w:gridCol w:w="191"/>
        <w:gridCol w:w="44"/>
        <w:gridCol w:w="501"/>
        <w:gridCol w:w="236"/>
        <w:gridCol w:w="5"/>
      </w:tblGrid>
      <w:tr w:rsidR="00572384" w:rsidRPr="00572384" w14:paraId="19830B09" w14:textId="77777777" w:rsidTr="00572384">
        <w:trPr>
          <w:gridAfter w:val="1"/>
          <w:trHeight w:val="224"/>
        </w:trPr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2D0B1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CD71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551F1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585A9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56894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9DAD9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D6BA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7E80A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DC9E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8AADF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FE6C7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56239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5D6FC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556D0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05E8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7294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7402B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56E04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A525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69B7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8053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D040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0030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08A1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D9CC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57F47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0849C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C28E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992F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7C2E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DFCF4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DE3F9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F9E4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8B77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2C1EB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639FA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AEAF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5A41C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5827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BD7B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F6D4F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43C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1AEC3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A52A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15BAF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716F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841F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78AE7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8A88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5BFA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6FCA9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7845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CB6C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C8400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0C513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531E9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8807A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59113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B6E0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9D4FF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D002C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C610A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439A4C" w14:textId="48A048B3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2384" w:rsidRPr="00572384" w14:paraId="1170FA7E" w14:textId="77777777" w:rsidTr="00572384">
        <w:trPr>
          <w:gridAfter w:val="1"/>
          <w:trHeight w:val="224"/>
        </w:trPr>
        <w:tc>
          <w:tcPr>
            <w:tcW w:w="15001" w:type="dxa"/>
            <w:gridSpan w:val="12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4B1F4D" w14:textId="4811CB5A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vAlign w:val="center"/>
            <w:hideMark/>
          </w:tcPr>
          <w:p w14:paraId="03FCB9CF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2384" w:rsidRPr="00572384" w14:paraId="58DACAB5" w14:textId="77777777" w:rsidTr="00572384">
        <w:trPr>
          <w:gridAfter w:val="1"/>
          <w:trHeight w:val="174"/>
        </w:trPr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66168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39E0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19AA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6D00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7BB2B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428A1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77151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31F8B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DFFA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5495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C4841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CCCCB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93FCB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1237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B687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3443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BF70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0783F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1E54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586D9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2F33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8A021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3D91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C5604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CD1AA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D4240C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7D087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87A1B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54893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207CEA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64DB80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458F3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3D450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44BA0C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A22A4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3D9630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B79934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7D0F0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B61653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832A0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FE0A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8B2509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18C27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E8C37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F9893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D324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E4601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04C0A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1CD8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6D98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5263B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872D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A479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87EFD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C664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DB99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5CE5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9BC7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F16EB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EDD03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172EF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33986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2CFCE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2384" w:rsidRPr="00572384" w14:paraId="11EE3156" w14:textId="77777777" w:rsidTr="00572384">
        <w:trPr>
          <w:gridBefore w:val="1"/>
          <w:trHeight w:val="448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C9F566C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Наименование </w:t>
            </w:r>
            <w:r w:rsidRPr="0057238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>объекта учета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7C350D0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Код счета</w:t>
            </w:r>
            <w:r w:rsidRPr="0057238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>бухгалтерского учета</w:t>
            </w:r>
          </w:p>
        </w:tc>
        <w:tc>
          <w:tcPr>
            <w:tcW w:w="255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0024C3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Способ ведения бухгалтерского учета</w:t>
            </w:r>
          </w:p>
        </w:tc>
        <w:tc>
          <w:tcPr>
            <w:tcW w:w="7867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F8F2794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Характеристика применяемого способа</w:t>
            </w:r>
          </w:p>
        </w:tc>
      </w:tr>
      <w:tr w:rsidR="00572384" w:rsidRPr="00572384" w14:paraId="559A3117" w14:textId="77777777" w:rsidTr="00572384">
        <w:trPr>
          <w:gridBefore w:val="1"/>
          <w:trHeight w:val="210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E7582D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B2EAF6F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255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90CFD2F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7867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59AEF8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</w:tr>
      <w:tr w:rsidR="00572384" w:rsidRPr="00572384" w14:paraId="10040420" w14:textId="77777777" w:rsidTr="00572384">
        <w:trPr>
          <w:gridBefore w:val="1"/>
          <w:trHeight w:val="675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5A26C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Основные средства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8DAD6D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0 101 00 000</w:t>
            </w:r>
          </w:p>
        </w:tc>
        <w:tc>
          <w:tcPr>
            <w:tcW w:w="255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1D57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Определение срока полезного использования</w:t>
            </w:r>
          </w:p>
        </w:tc>
        <w:tc>
          <w:tcPr>
            <w:tcW w:w="7867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97E6E" w14:textId="03226A8D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Исходя из ожидаемого срока получения экономических выгод и (или) полезного потенциала, заключенного в активе, в порядке, установленном п. 35 СГС «Основные средства</w:t>
            </w:r>
            <w:r w:rsidR="00D941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</w:tr>
      <w:tr w:rsidR="00572384" w:rsidRPr="00572384" w14:paraId="49AFA75B" w14:textId="77777777" w:rsidTr="00572384">
        <w:trPr>
          <w:gridBefore w:val="1"/>
          <w:trHeight w:val="595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628A98" w14:textId="77777777" w:rsid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Нематериальные активы  </w:t>
            </w:r>
          </w:p>
          <w:p w14:paraId="39E0BACE" w14:textId="77777777" w:rsid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7D6B4AE5" w14:textId="77777777" w:rsid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18254022" w14:textId="77777777" w:rsid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051F0204" w14:textId="300A15EA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>
              <w:t xml:space="preserve"> 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4C8D83" w14:textId="37B9FAF9" w:rsid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0 102 00</w:t>
            </w: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000</w:t>
            </w:r>
          </w:p>
          <w:p w14:paraId="681A2573" w14:textId="77777777" w:rsid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74DDFA45" w14:textId="77777777" w:rsid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02D724C7" w14:textId="77777777" w:rsid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119D0462" w14:textId="0E2C9E1A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554" w:type="dxa"/>
            <w:gridSpan w:val="2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4FBDEE87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Определение срока полезного использования</w:t>
            </w:r>
          </w:p>
        </w:tc>
        <w:tc>
          <w:tcPr>
            <w:tcW w:w="7867" w:type="dxa"/>
            <w:gridSpan w:val="6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74A375" w14:textId="24F18EC1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Сроком полезного использования нематериального актива является период, в течение которого предполагается использование актива.</w:t>
            </w: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br/>
              <w:t>Если срок не установлен, в учете возникает объект НМА с неопределенным сроком полезного использования.</w:t>
            </w: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Продолжительность периода, в течение которого предполагается использовать нематериальный актив, ежегодно определяется комиссией по поступлению и выбытию активов.</w:t>
            </w:r>
          </w:p>
        </w:tc>
      </w:tr>
      <w:tr w:rsidR="00572384" w:rsidRPr="00572384" w14:paraId="3320DC10" w14:textId="77777777" w:rsidTr="00572384">
        <w:trPr>
          <w:gridBefore w:val="1"/>
          <w:trHeight w:val="263"/>
        </w:trPr>
        <w:tc>
          <w:tcPr>
            <w:tcW w:w="2547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07BA36B" w14:textId="77777777" w:rsid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5FDBFB4C" w14:textId="123901E3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>
              <w:t xml:space="preserve"> </w:t>
            </w: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Права пользования нематериальными активами</w:t>
            </w:r>
          </w:p>
        </w:tc>
        <w:tc>
          <w:tcPr>
            <w:tcW w:w="226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54487E0" w14:textId="60BA12A0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0 111 60 000</w:t>
            </w:r>
          </w:p>
        </w:tc>
        <w:tc>
          <w:tcPr>
            <w:tcW w:w="2554" w:type="dxa"/>
            <w:gridSpan w:val="2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D5A1F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7867" w:type="dxa"/>
            <w:gridSpan w:val="6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FE26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572384" w:rsidRPr="00572384" w14:paraId="6022F606" w14:textId="77777777" w:rsidTr="00572384">
        <w:trPr>
          <w:gridBefore w:val="1"/>
          <w:trHeight w:val="263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494EE02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Амортизация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07B8C28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0 104 00 000</w:t>
            </w:r>
          </w:p>
        </w:tc>
        <w:tc>
          <w:tcPr>
            <w:tcW w:w="255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B4AC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Методы начисления амортизации</w:t>
            </w:r>
          </w:p>
        </w:tc>
        <w:tc>
          <w:tcPr>
            <w:tcW w:w="7867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F1AA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Линейный метод</w:t>
            </w:r>
          </w:p>
        </w:tc>
      </w:tr>
      <w:tr w:rsidR="00572384" w:rsidRPr="00572384" w14:paraId="6473D542" w14:textId="77777777" w:rsidTr="00572384">
        <w:trPr>
          <w:gridBefore w:val="1"/>
          <w:trHeight w:val="379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3A58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Материальные запасы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C069A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0 105 00 000</w:t>
            </w:r>
          </w:p>
        </w:tc>
        <w:tc>
          <w:tcPr>
            <w:tcW w:w="255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2A78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Выбытие материальных запасов</w:t>
            </w:r>
          </w:p>
        </w:tc>
        <w:tc>
          <w:tcPr>
            <w:tcW w:w="7867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82658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По средней фактической стоимости запасов.</w:t>
            </w:r>
          </w:p>
        </w:tc>
      </w:tr>
      <w:tr w:rsidR="00572384" w:rsidRPr="00572384" w14:paraId="0F33E0E7" w14:textId="77777777" w:rsidTr="00572384">
        <w:trPr>
          <w:gridBefore w:val="1"/>
          <w:trHeight w:val="402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3645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Расходы будущих периодов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3C11F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0 401 50 000</w:t>
            </w:r>
          </w:p>
        </w:tc>
        <w:tc>
          <w:tcPr>
            <w:tcW w:w="255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483BF" w14:textId="61FE488B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Отнесение на финансовый результат текущего финансового года</w:t>
            </w:r>
          </w:p>
        </w:tc>
        <w:tc>
          <w:tcPr>
            <w:tcW w:w="7867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2D26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Равномерно в течение периода, к которому они относятся.</w:t>
            </w:r>
          </w:p>
        </w:tc>
      </w:tr>
      <w:tr w:rsidR="00572384" w:rsidRPr="00572384" w14:paraId="357CBC70" w14:textId="77777777" w:rsidTr="00572384">
        <w:trPr>
          <w:gridBefore w:val="1"/>
          <w:trHeight w:val="843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A614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Резервы предстоящих расходов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B34E4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0 401 60 000</w:t>
            </w:r>
          </w:p>
        </w:tc>
        <w:tc>
          <w:tcPr>
            <w:tcW w:w="255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F0AF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Метод определения</w:t>
            </w:r>
          </w:p>
        </w:tc>
        <w:tc>
          <w:tcPr>
            <w:tcW w:w="7867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4BF4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Оценочное значение на последний день отчетного периода, исходя из данных о количестве календарных дней неиспользованных отпусков по муниципальным служащим Контрольно-счетной палаты и среднемесячной заработной платы в отчетном периоде.</w:t>
            </w:r>
          </w:p>
        </w:tc>
      </w:tr>
      <w:tr w:rsidR="00572384" w:rsidRPr="00572384" w14:paraId="67E54F34" w14:textId="77777777" w:rsidTr="00572384">
        <w:trPr>
          <w:gridBefore w:val="1"/>
          <w:trHeight w:val="464"/>
        </w:trPr>
        <w:tc>
          <w:tcPr>
            <w:tcW w:w="25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E4A4" w14:textId="77777777" w:rsidR="00572384" w:rsidRPr="00572384" w:rsidRDefault="00572384" w:rsidP="0057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Основные средства в эксплуатации</w:t>
            </w:r>
          </w:p>
        </w:tc>
        <w:tc>
          <w:tcPr>
            <w:tcW w:w="226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113C9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21</w:t>
            </w:r>
          </w:p>
        </w:tc>
        <w:tc>
          <w:tcPr>
            <w:tcW w:w="255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0E64D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Учет</w:t>
            </w:r>
          </w:p>
        </w:tc>
        <w:tc>
          <w:tcPr>
            <w:tcW w:w="7867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0178" w14:textId="77777777" w:rsidR="00572384" w:rsidRPr="00572384" w:rsidRDefault="00572384" w:rsidP="0057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7238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По балансовой стоимости введенного в эксплуатацию объекта.</w:t>
            </w:r>
          </w:p>
        </w:tc>
      </w:tr>
    </w:tbl>
    <w:p w14:paraId="353C50FD" w14:textId="0B16D856" w:rsidR="00AA5BB7" w:rsidRDefault="00572384" w:rsidP="005446F9">
      <w:pPr>
        <w:autoSpaceDE w:val="0"/>
        <w:autoSpaceDN w:val="0"/>
        <w:adjustRightInd w:val="0"/>
        <w:spacing w:after="0" w:line="390" w:lineRule="atLeast"/>
        <w:jc w:val="both"/>
      </w:pPr>
      <w:r>
        <w:fldChar w:fldCharType="begin"/>
      </w:r>
      <w:r>
        <w:instrText xml:space="preserve"> LINK </w:instrText>
      </w:r>
      <w:r w:rsidR="008609D9">
        <w:instrText xml:space="preserve">Excel.Sheet.12 "\\\\Spserver\\папка обмена\\04.БУХГАЛТЕРИЯ\\Учетная политика 2025\\Таблица 4.xlsx" 2020!R2C1:R15C108 </w:instrText>
      </w:r>
      <w:r>
        <w:instrText xml:space="preserve">\a \f 4 \h  \* MERGEFORMAT </w:instrText>
      </w:r>
      <w:r>
        <w:fldChar w:fldCharType="separate"/>
      </w:r>
    </w:p>
    <w:p w14:paraId="5BDB6524" w14:textId="3ED66A5A" w:rsidR="00572384" w:rsidRDefault="00572384" w:rsidP="005446F9">
      <w:pPr>
        <w:autoSpaceDE w:val="0"/>
        <w:autoSpaceDN w:val="0"/>
        <w:adjustRightInd w:val="0"/>
        <w:spacing w:after="0" w:line="390" w:lineRule="atLeast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fldChar w:fldCharType="end"/>
      </w:r>
    </w:p>
    <w:sectPr w:rsidR="00572384" w:rsidSect="00572384">
      <w:pgSz w:w="16838" w:h="11906" w:orient="landscape"/>
      <w:pgMar w:top="170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42302" w14:textId="77777777" w:rsidR="00DB08A3" w:rsidRDefault="00DB08A3" w:rsidP="00262C17">
      <w:pPr>
        <w:spacing w:after="0" w:line="240" w:lineRule="auto"/>
      </w:pPr>
      <w:r>
        <w:separator/>
      </w:r>
    </w:p>
  </w:endnote>
  <w:endnote w:type="continuationSeparator" w:id="0">
    <w:p w14:paraId="790017AC" w14:textId="77777777" w:rsidR="00DB08A3" w:rsidRDefault="00DB08A3" w:rsidP="00262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6371B" w14:textId="77777777" w:rsidR="00DB08A3" w:rsidRDefault="00DB08A3" w:rsidP="00262C17">
      <w:pPr>
        <w:spacing w:after="0" w:line="240" w:lineRule="auto"/>
      </w:pPr>
      <w:r>
        <w:separator/>
      </w:r>
    </w:p>
  </w:footnote>
  <w:footnote w:type="continuationSeparator" w:id="0">
    <w:p w14:paraId="1D300259" w14:textId="77777777" w:rsidR="00DB08A3" w:rsidRDefault="00DB08A3" w:rsidP="00262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0A7999"/>
    <w:multiLevelType w:val="multilevel"/>
    <w:tmpl w:val="606A4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1579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CA3"/>
    <w:rsid w:val="00062817"/>
    <w:rsid w:val="000E2781"/>
    <w:rsid w:val="000E35DC"/>
    <w:rsid w:val="00107CA3"/>
    <w:rsid w:val="00173398"/>
    <w:rsid w:val="001C0D76"/>
    <w:rsid w:val="001C2E59"/>
    <w:rsid w:val="00202520"/>
    <w:rsid w:val="00222F26"/>
    <w:rsid w:val="00262C17"/>
    <w:rsid w:val="00263CCD"/>
    <w:rsid w:val="002E6593"/>
    <w:rsid w:val="003031FF"/>
    <w:rsid w:val="0031160C"/>
    <w:rsid w:val="00316495"/>
    <w:rsid w:val="00346D60"/>
    <w:rsid w:val="003C0C42"/>
    <w:rsid w:val="003F702A"/>
    <w:rsid w:val="00406ADF"/>
    <w:rsid w:val="005446F9"/>
    <w:rsid w:val="00572384"/>
    <w:rsid w:val="00623AF3"/>
    <w:rsid w:val="006E622D"/>
    <w:rsid w:val="007C5672"/>
    <w:rsid w:val="007F5295"/>
    <w:rsid w:val="00855C58"/>
    <w:rsid w:val="008609D9"/>
    <w:rsid w:val="00925B43"/>
    <w:rsid w:val="00AA5BB7"/>
    <w:rsid w:val="00B56D9B"/>
    <w:rsid w:val="00B87EBD"/>
    <w:rsid w:val="00C31F37"/>
    <w:rsid w:val="00C83E70"/>
    <w:rsid w:val="00CF5AA0"/>
    <w:rsid w:val="00D044EA"/>
    <w:rsid w:val="00D508AF"/>
    <w:rsid w:val="00D652D8"/>
    <w:rsid w:val="00D72859"/>
    <w:rsid w:val="00D75F16"/>
    <w:rsid w:val="00D9305B"/>
    <w:rsid w:val="00D94110"/>
    <w:rsid w:val="00DB08A3"/>
    <w:rsid w:val="00DF320F"/>
    <w:rsid w:val="00DF3AC7"/>
    <w:rsid w:val="00E101CC"/>
    <w:rsid w:val="00E1269F"/>
    <w:rsid w:val="00E25000"/>
    <w:rsid w:val="00E92FFE"/>
    <w:rsid w:val="00EB0E8C"/>
    <w:rsid w:val="00EB7CFA"/>
    <w:rsid w:val="00F22F37"/>
    <w:rsid w:val="00F27D30"/>
    <w:rsid w:val="00F8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4313B"/>
  <w15:chartTrackingRefBased/>
  <w15:docId w15:val="{4E43A7F7-E20C-473A-8B45-5238C8D0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164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a3">
    <w:name w:val="No Spacing"/>
    <w:uiPriority w:val="1"/>
    <w:qFormat/>
    <w:rsid w:val="00E92FF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62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2C17"/>
  </w:style>
  <w:style w:type="paragraph" w:styleId="a6">
    <w:name w:val="footer"/>
    <w:basedOn w:val="a"/>
    <w:link w:val="a7"/>
    <w:uiPriority w:val="99"/>
    <w:unhideWhenUsed/>
    <w:rsid w:val="00262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2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548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4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161AA42813FF2C5CEF20345109A18045E915A4D486592BF0D91A3DD55F1698951AD87C989255BD5FAE991C30C9B654393C4422B6702763792395C742FD69E8EDC4717EA615CE677B5d6R0M" TargetMode="External"/><Relationship Id="rId13" Type="http://schemas.openxmlformats.org/officeDocument/2006/relationships/hyperlink" Target="consultantplus://offline/ref=9D8161AA42813FF2C5CEF20345109A18045E915A4D486592BF0D91A3DD55F1698951AD87C989255BD5FBE091C30D9A654393C4422B6702763792395C742FD69E8FDD4C4BBB23d1R3M" TargetMode="External"/><Relationship Id="rId18" Type="http://schemas.openxmlformats.org/officeDocument/2006/relationships/hyperlink" Target="consultantplus://offline/ref=9D8161AA42813FF2C5CEF20345109A18045E915A4D486592BF0D91A3DD55F1698951AD87C989255BD5FAEA9CCA059C654393C4422B6702763792395C742FD69E8FDE4C43BB2402B726F03A402CD403E6C1ADE60AF36CdFRF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D8161AA42813FF2C5CEF20345109A18045E915A4D486592BF0D91A3DD55F1698951AD87C989255BD5FBE091C5079A654393C4422B6702763792395C742FD69E8FD94C4BBB23d1R3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8161AA42813FF2C5CEF20345109A18045E915A4D486592BF0D91A3DD55F1698951AD87C989255BD5FBE893C30490654393C4422B6702763792395C742FD69E8FDD4C4BBB23d1R3M" TargetMode="External"/><Relationship Id="rId17" Type="http://schemas.openxmlformats.org/officeDocument/2006/relationships/hyperlink" Target="consultantplus://offline/ref=9D8161AA42813FF2C5CEF20345109A18045E915A4D486592BF0D91A3DD55F1698951AD87C989255BD5FAEA9CC60491654393C4422B6702763792395C742FD69E8FDE4C43BB2402B726F03A402CD403E6C1ADE60AF36CdFRF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D8161AA42813FF2C5CEF20345109A18045E915A4D486592BF0D91A3DD55F1698951AD87C989255BD5FBE09DC10190654393C4422B6702763792395C742FD69E8FDD4C4BBB23d1R3M" TargetMode="External"/><Relationship Id="rId20" Type="http://schemas.openxmlformats.org/officeDocument/2006/relationships/hyperlink" Target="consultantplus://offline/ref=9D8161AA42813FF2C5CEF20345109A18045E915A4D486592BF0D91A3DD55F1698951AD87C989255BD5FAEA9CCA059C654393C4422B6702763792395C742FD69E8FDE4C43BB2402B726F03A402CD403E6C1ADE60AF36CdFRF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8161AA42813FF2C5CEF20345109A18045E915A4D486592BF0D91A3DD55F1698951AD87C989255BD5FBE893C30798654393C4422B6702763792395C742FD69E8FDD4C4BBB23d1R3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D8161AA42813FF2C5CEF20345109A18045E915A4D486592BF0D91A3DD55F1698951AD87C989255BD5FBE09DC1029A654393C4422B6702763792395C742FD69E8FDD4C4BBB23d1R3M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9D8161AA42813FF2C5CEF20345109A18045E915A4D486592BF0D91A3DD55F1698951AD87C989255BD5FBE893C30491654393C4422B6702763792395C742FD69E8FDD4C4BBB23d1R3M" TargetMode="External"/><Relationship Id="rId19" Type="http://schemas.openxmlformats.org/officeDocument/2006/relationships/hyperlink" Target="consultantplus://offline/ref=9D8161AA42813FF2C5CEF20345109A18045E915A4D486592BF0D91A3DD55F1698951AD87C989255BD5FAEA9CCA059C654393C4422B6702763792395C742FD69E8FDE4C43BB2402B726F03A402CD403E6C1ADE60AF36CdFRF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8161AA42813FF2C5CEF20345109A18045E915A4D486592BF0D91A3DD55F1698951AD87C989255BD5FAE996C40691654393C4422B6702763792395C742FD69E8EDC4717EA615CE677B5d6R0M" TargetMode="External"/><Relationship Id="rId14" Type="http://schemas.openxmlformats.org/officeDocument/2006/relationships/hyperlink" Target="consultantplus://offline/ref=9D8161AA42813FF2C5CEF20345109A18045E915A4D486592BF0D91A3DD55F1698951AD87C989255BD5FBE09DC1019F654393C4422B6702763792395C742FD69E8FDD4C4BBB23d1R3M" TargetMode="External"/><Relationship Id="rId22" Type="http://schemas.openxmlformats.org/officeDocument/2006/relationships/hyperlink" Target="consultantplus://offline/ref=9D8161AA42813FF2C5CEF20345109A18045E915A4D486592BF0D91A3DD55F1698951AD87C989255BD5FAED90C30191654393C4422B6702763792395C742FD69E8FDD4C43BB2402B724F73A4029D403E6C1ADE60AF36CdFR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01C92-6847-4B89-A746-A7D6D13C3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2087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Петрозаводск Контрольно-счетная палата</dc:creator>
  <cp:keywords/>
  <dc:description/>
  <cp:lastModifiedBy>Петрозаводск Контрольно-счетная палата</cp:lastModifiedBy>
  <cp:revision>9</cp:revision>
  <cp:lastPrinted>2025-03-31T06:05:00Z</cp:lastPrinted>
  <dcterms:created xsi:type="dcterms:W3CDTF">2025-12-22T08:10:00Z</dcterms:created>
  <dcterms:modified xsi:type="dcterms:W3CDTF">2025-12-30T05:29:00Z</dcterms:modified>
</cp:coreProperties>
</file>