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63C2" w:rsidRPr="008963C2" w:rsidRDefault="008963C2" w:rsidP="008963C2">
      <w:pPr>
        <w:spacing w:after="0" w:line="276" w:lineRule="auto"/>
        <w:ind w:firstLine="567"/>
        <w:jc w:val="both"/>
        <w:rPr>
          <w:rFonts w:ascii="Times New Roman" w:hAnsi="Times New Roman" w:cs="Times New Roman"/>
          <w:sz w:val="28"/>
          <w:szCs w:val="28"/>
        </w:rPr>
      </w:pPr>
      <w:bookmarkStart w:id="0" w:name="_GoBack"/>
      <w:bookmarkEnd w:id="0"/>
      <w:r w:rsidRPr="008963C2">
        <w:rPr>
          <w:rFonts w:ascii="Times New Roman" w:hAnsi="Times New Roman" w:cs="Times New Roman"/>
          <w:sz w:val="28"/>
          <w:szCs w:val="28"/>
        </w:rPr>
        <w:t xml:space="preserve">В соответствии с планом работы Контрольно-счетной палаты на 2021 год, Стандартом финансового контроля СФК 2.8 «Общие правила проведения экспертно-аналитических мероприятий» в 2021 году проведено 34 экспертно-аналитических мероприятия.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В составе экспертно-аналитических мероприятий подготовлено 23 заключения на проекты нормативно-правовых актов Петрозаводского городского Совета и Администрации, в том числе:</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w:t>
      </w:r>
      <w:r w:rsidRPr="008963C2">
        <w:rPr>
          <w:rFonts w:ascii="Times New Roman" w:hAnsi="Times New Roman" w:cs="Times New Roman"/>
          <w:sz w:val="28"/>
          <w:szCs w:val="28"/>
        </w:rPr>
        <w:tab/>
        <w:t>9 заключений по результатам финансово-экономической экспертизы проектов решений Петрозаводского городского Совета «О внесении изменений в Решение Петрозаводского городского Совета «О бюджете Петрозаводского городского округа на 2021 год и плановый период 2022 и 2023 годов».</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Проекты решений подготовлены Администрацией в рамках действующего бюджетного законодательства, в представленных проектах решений соблюдены ограничения, установленные статьями 92.1, 107 Бюджетного кодекса, по объему муниципального долга, предельному объему заимствований и принцип сбалансированности бюджета, установленный статьей 33 Бюджетного кодекса;</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w:t>
      </w:r>
      <w:r w:rsidRPr="008963C2">
        <w:rPr>
          <w:rFonts w:ascii="Times New Roman" w:hAnsi="Times New Roman" w:cs="Times New Roman"/>
          <w:sz w:val="28"/>
          <w:szCs w:val="28"/>
        </w:rPr>
        <w:tab/>
        <w:t>2 заключения по результатам экспертизы проекта решения Петрозаводского городского Совета «О внесении изменений в Положение о бюджетном процессе в Петрозаводском городском округе». Вносимые изменения не противоречат Бюджетному Кодексу, замечания по представленным проектам решений отсутствуют;</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w:t>
      </w:r>
      <w:r w:rsidRPr="008963C2">
        <w:rPr>
          <w:rFonts w:ascii="Times New Roman" w:hAnsi="Times New Roman" w:cs="Times New Roman"/>
          <w:sz w:val="28"/>
          <w:szCs w:val="28"/>
        </w:rPr>
        <w:tab/>
        <w:t xml:space="preserve">12 заключений по результатам финансово-экономической экспертизы проектов постановлений Администрации о внесении изменений в муниципальные программы. По результатам проведения экспертиз установлено нарушение пунктов 32, 37, 40 Порядка разработки и реализации муниципальных программ, в части нарушения срока и обоснования необходимости внесения изменений в муниципальную программу.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Предложения и замечания Контрольно-счетной палаты учтены Администрацией при подготовке постановлений о внесении изменений в муниципальные программы.</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В соответствии с планом работы Контрольно-счетной палаты на 2021 год в отчетном периоде проведены следующие экспертно-аналитические мероприятия:</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w:t>
      </w:r>
      <w:r w:rsidRPr="008963C2">
        <w:rPr>
          <w:rFonts w:ascii="Times New Roman" w:hAnsi="Times New Roman" w:cs="Times New Roman"/>
          <w:sz w:val="28"/>
          <w:szCs w:val="28"/>
        </w:rPr>
        <w:tab/>
        <w:t xml:space="preserve"> «Внешняя проверка годового отчета об исполнении бюджета Петрозаводского городского округа за 2020 год».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По итогам внешней проверки бюджетной отчетности всем главным администраторам бюджетных средств направлены акты с результатами проверок и предложениями по устранению выявленных недостатков.</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 xml:space="preserve">В ходе исполнения бюджета бюджетное законодательство Российской Федерации и иные нормативные правовые акты, регулирующие бюджетные правоотношения, соблюдались. Показатели годового отчета об исполнении </w:t>
      </w:r>
      <w:r w:rsidRPr="008963C2">
        <w:rPr>
          <w:rFonts w:ascii="Times New Roman" w:hAnsi="Times New Roman" w:cs="Times New Roman"/>
          <w:sz w:val="28"/>
          <w:szCs w:val="28"/>
        </w:rPr>
        <w:lastRenderedPageBreak/>
        <w:t xml:space="preserve">бюджета Петрозаводского городского округа за 2020 год достоверны и соответствуют показателям доходов, расходов и профицита бюджета Петрозаводского городского округа, установленным по результатам внешней проверки за 2020 год.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w:t>
      </w:r>
      <w:r w:rsidRPr="008963C2">
        <w:rPr>
          <w:rFonts w:ascii="Times New Roman" w:hAnsi="Times New Roman" w:cs="Times New Roman"/>
          <w:sz w:val="28"/>
          <w:szCs w:val="28"/>
        </w:rPr>
        <w:tab/>
        <w:t xml:space="preserve"> «Анализ соблюдения порядка составления, утверждения и ведения бюджетных смет казенными учреждениями Петрозаводского городского округа».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 xml:space="preserve">В ходе мероприятия установлено нарушение норм Бюджетного кодекса в части передачи МКУ «Центр бухгалтерского обслуживания» бюджетных полномочий казенных учреждений Петрозаводского городского округа по формированию бюджетных смет и внесения изменений в них.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В нарушение требований Федерального закона от 12.01.1996 № 7-ФЗ «О некоммерческих организациях», приказа Министерства финансов Российской Федерации от 21.07.2011 № 86н «Об утверждении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информация на официальном сайте http://www.bus.gov.ru в сети Интернет размещалась казенными учреждениями несвоевременно.</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В ходе экспертно-аналитического мероприятия установлены факты отсутствия обоснований (расчетов) плановых сметных показателей к бюджетной смете, несвоевременного отражение в бюджетной смете вносимых в нее изменений, составление учреждениями бюджетной сметы по форме, отличной от рекомендованной к заполнению учредителем на сумму 13 620,8 тыс. рублей.</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w:t>
      </w:r>
      <w:r w:rsidRPr="008963C2">
        <w:rPr>
          <w:rFonts w:ascii="Times New Roman" w:hAnsi="Times New Roman" w:cs="Times New Roman"/>
          <w:sz w:val="28"/>
          <w:szCs w:val="28"/>
        </w:rPr>
        <w:tab/>
        <w:t xml:space="preserve"> «Мониторинг хода реализации в 2020 году национальных проектов на территории Петрозаводского городского округа».</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 xml:space="preserve">В ходе мероприятия установлены следующие недостатки.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При фактическом осуществлении деятельности по реализации нацпроектов, распоряжением Администрации от 14.05.2019 № 82-р «Об организации Администрацией Петрозаводского городского округа мероприятий по реализации национальных проектов».</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В отдельных случаях в представленных планах («дорожных картах») по реализации национальных проектов, дата утверждения планов («дорожных карт») значительно позднее даты начала срока реализации национального проекта.</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В ходе анализа муниципальных программ на соответствие объемов финансового обеспечения, предусмотренного на реализацию мероприятий национальных проектов, объемам бюджетных ассигнований, утвержденным Решением о бюджете на 2020 год, и своевременной актуализации муниципальных программ выявлено отклонение в сумме 103 659,0 тыс. рублей.</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w:t>
      </w:r>
      <w:r w:rsidRPr="008963C2">
        <w:rPr>
          <w:rFonts w:ascii="Times New Roman" w:hAnsi="Times New Roman" w:cs="Times New Roman"/>
          <w:sz w:val="28"/>
          <w:szCs w:val="28"/>
        </w:rPr>
        <w:tab/>
        <w:t xml:space="preserve"> «Анализ информации о ходе исполнения бюджета Петрозаводского городского округа за 1 квартал 2021 года».</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lastRenderedPageBreak/>
        <w:t>За 1 квартал 2021 года в бюджет Петрозаводского городского округа поступило доходов в сумме 1 388 009,7 тыс. рублей или 18,8 процента годового плана, расходы составили 1 365 726,8 тыс. рублей или 18,3 процента плана. По итогам исполнения бюджета Петрозаводского городского округа сложился профицит бюджета в сумме 22 282,9 тыс. рублей.</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По сравнению с 1 кварталом 2020 года доходы бюджета Петрозаводского городского округа увеличились на 100 631,4 тыс. рублей, при этом по налоговым и неналоговым доходам наблюдается снижение на 26 934,8 тыс. рублей, по безвозмездным поступлениям - увеличение на 127 566,2 тыс. рублей.</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 xml:space="preserve">Дебиторская задолженность с начала года увеличилась 12,6 процента и составляет 15 384 160,0 тыс. рублей, в том числе просроченная дебиторская задолженность увеличилась на 4,7 процента и составляет 337 730,3 тыс. рублей.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Просроченная кредиторская задолженность на 01.04.2021 отсутствует.</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Объем муниципального долга по состоянию на 01.04.2021 снизился по сравнению с объемом на начало года на 14,5 процента.</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Требования Бюджетного кодекса в части соблюдения предельного объема муниципального долга, расходов на его обслуживание и другие параметры кредитоспособности Администрацией по итогам 1 квартала 2021 года соблюдены.</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w:t>
      </w:r>
      <w:r w:rsidRPr="008963C2">
        <w:rPr>
          <w:rFonts w:ascii="Times New Roman" w:hAnsi="Times New Roman" w:cs="Times New Roman"/>
          <w:sz w:val="28"/>
          <w:szCs w:val="28"/>
        </w:rPr>
        <w:tab/>
        <w:t xml:space="preserve"> «Анализ информации о ходе исполнения бюджета Петрозаводского городского округа за 1 полугодие 2021 года».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За 1 полугодие 2021 года в бюджет Петрозаводского городского округа поступило доходов в сумме 3 605 472,0 тыс. рублей или 45,4 процента годового плана, расходы составили 3 749 927,4 тыс. рублей или 46,6 процента плана. По состоянию на 01.07.2021 бюджет исполнен с дефицитом в сумме 144 455,4 тыс. рублей.</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 xml:space="preserve">По сравнению с 1 полугодием 2020 года доходы бюджета увеличились на      293 654,7 тыс. рублей, в том числе по налоговым и неналоговым доходам увеличение на 87 162,8 тыс. рублей, по безвозмездным поступлениям - рост на 206 491,9 тыс. рублей.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Собираемость неналоговых доходов, администрируемых Администрацией Петрозаводского городского округа, ниже уровня аналогичного периода 2020 года на 215,5 тыс. рублей.</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 xml:space="preserve">Дебиторская задолженность с начала года увеличилась 0,5 процента и составляет 13 735 542,9 тыс. рублей, в том числе просроченная дебиторская задолженность увеличилась на 5,2 процента и составляет 339 670,7 тыс. рублей.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Просроченная кредиторская задолженность на 01.07.2021 отсутствует.</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Объем муниципального долга по состоянию на 01.07.2021 снизился по сравнению с объемом на начало года на 12,6 процента.</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 xml:space="preserve">Требования Бюджетного кодекса в части соблюдения предельного объема муниципального долга, расходов на его обслуживание и другие параметры </w:t>
      </w:r>
      <w:r w:rsidRPr="008963C2">
        <w:rPr>
          <w:rFonts w:ascii="Times New Roman" w:hAnsi="Times New Roman" w:cs="Times New Roman"/>
          <w:sz w:val="28"/>
          <w:szCs w:val="28"/>
        </w:rPr>
        <w:lastRenderedPageBreak/>
        <w:t xml:space="preserve">кредитоспособности Администрацией по итогам 1 полугодия 2021 года соблюдены. Расходы на реализацию мероприятий в рамках нацпроектов составили 154 958,8 тыс. рублей или 10,5 процентов от утвержденных сводной бюджетной росписью показателей. Освоение инвестиций, предусмотренных адресной инвестиционной программой на 2021 год, составило 85 583,6 тыс. рублей или 10,7 процентов от запланированного объема.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Низкий процент освоения инвестиций влечет риск неисполнения бюджетных полномочий главного распорядителя бюджетных средств, предусмотренных подпунктом 1 пункта 1 статьи 158 Бюджетного кодекса.</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w:t>
      </w:r>
      <w:r w:rsidRPr="008963C2">
        <w:rPr>
          <w:rFonts w:ascii="Times New Roman" w:hAnsi="Times New Roman" w:cs="Times New Roman"/>
          <w:sz w:val="28"/>
          <w:szCs w:val="28"/>
        </w:rPr>
        <w:tab/>
        <w:t xml:space="preserve"> «Анализ исполнения в 2021 году доходной части бюджета Петрозаводского городского округа (в части налоговых доходов)»</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По итогам первого полугодия 2021 года доля налоговых доходов, поступивших в бюджет Петрозаводского городского округа, составила 81,6 процента от общей суммы налоговых и неналоговых доходов и на 9,9 процента выше объема налоговых поступлений за аналогичный период прошлого года.</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 xml:space="preserve">В общей массе налоговых доходов бюджета Петрозаводского городского округа по итогам 1 полугодия 2021 года, наибольший удельный вес приходится на налог на доходы физических лиц – 76,6 процента.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Наблюдается положительная тенденция снижения объема недоимки по налоговым платежам - на 14,3 процента с начала 2021 года.</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Отмена единого налога на вмененный доход для отдельных видов деятельности (далее – ЕНВД) с 01.01.2021 года оказала негативное влияние на наполняемость доходной части бюджета Петрозаводского городского округа.</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«Выпадающие» доходы 2021 года по ЕНВД составили 159 439,9 тыс. рублей, в плановом периоде потери, связанные с отменой ЕНВД, оцениваются Администрацией в объеме 170 600,0 тыс. рублей.</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Законодательное установление дифференцированных нормативов отчислений от упрощенной системы налогообложения в бюджет городских округов, включая размеры указанных нормативов отчислений данной нормы запланировано на правоотношения, начиная с 1 января 2022 года.</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 xml:space="preserve">Объем дотации, распределенный Петрозаводскому городскому округу на 2021 год на поддержку мер по обеспечению сбалансированности бюджетов муниципальных образований в размере 77 135,0 тыс. рублей не восполняет выпадающие доходы бюджета городского округа, связанные с отменой ЕНВД.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w:t>
      </w:r>
      <w:r w:rsidRPr="008963C2">
        <w:rPr>
          <w:rFonts w:ascii="Times New Roman" w:hAnsi="Times New Roman" w:cs="Times New Roman"/>
          <w:sz w:val="28"/>
          <w:szCs w:val="28"/>
        </w:rPr>
        <w:tab/>
        <w:t xml:space="preserve"> «Экспертиза проекта бюджета Петрозаводского городского округа на 2022 год и на плановый период 2023 и 2024 годов».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 xml:space="preserve">В соответствии со статьей 169 Бюджетного кодекса, статьей 6 Положения о бюджетном процессе в Петрозаводском городском округе, утвержденного Решением Петрозаводского городского Совета от 24.09.2009 № 26/33-655 проект бюджета сформирован на три года и содержит показатели бюджета </w:t>
      </w:r>
      <w:r w:rsidRPr="008963C2">
        <w:rPr>
          <w:rFonts w:ascii="Times New Roman" w:hAnsi="Times New Roman" w:cs="Times New Roman"/>
          <w:sz w:val="28"/>
          <w:szCs w:val="28"/>
        </w:rPr>
        <w:lastRenderedPageBreak/>
        <w:t>Петрозаводского городского округа на 2022 год и на плановый период 2023 и 2024 годов.</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Общий объем доходов бюджета Петрозаводского городского округа на 2022 год прогнозируется в сумме 7 184 556,4 тыс. рублей, на 2023 год - в сумме 6 638 671,5 тыс. рублей, на 2024 год - в сумме 6 624 402,5 тыс. рублей.</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Согласно представленному проекту решения о бюджете расходная часть бюджета Петрозаводского городского округа сформирована на 2022 год – в сумме 7 118 556,4 тыс. рублей, на 2023 год – в сумме 6 638 671,5 тыс. рублей, на 2024 год – в сумме 6 624 402,5 тыс. рублей.</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По итогам экспертизы Контрольно-счетная палата отмечает, что проект решения о бюджете соответствует бюджетному законодательству Российской Федерации, нормативно-правовым актам Петрозаводского городского округа.</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w:t>
      </w:r>
      <w:r w:rsidRPr="008963C2">
        <w:rPr>
          <w:rFonts w:ascii="Times New Roman" w:hAnsi="Times New Roman" w:cs="Times New Roman"/>
          <w:sz w:val="28"/>
          <w:szCs w:val="28"/>
        </w:rPr>
        <w:tab/>
        <w:t xml:space="preserve"> «Анализ информации о ходе исполнения бюджета Петрозаводского городского округа за 9 месяцев 2021 года».</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 xml:space="preserve">В бюджет Петрозаводского городского округа при уточненном годовом плане 8 245 907,7 тыс. рублей за 9 месяцев 2021 года поступило доходов 5 607 281,1 тыс. рублей или 68 процентов годового плана.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По сравнению с аналогичным периодом прошлого года доходы бюджета увеличились на 305 223,5 тыс. рублей, в том числе по безвозмездным поступлениям на 299 876,8 тыс. рублей, по налоговым и неналоговым доходам на 5 346,7 тыс. рублей.</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 xml:space="preserve">Исполнение бюджета Петрозаводского городского округа за 9 месяцев 2021 года по расходам составило 5 655 660,7 тыс. рублей или 67,8 процента от уточненных годовых бюджетных назначений. По сравнению с аналогичным периодом прошлого года расходы увеличились на 630 736,7 тыс. рублей.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 xml:space="preserve">По состоянию на 01.10.2021 бюджет Петрозаводского городского округа исполнен с дефицитом в сумме 48 379,6 тыс. рублей.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Муниципальный долг Петрозаводского городского округа по состоянию на 01.10.2021 составил 2 037 000,0 тыс. рублей.</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Объем муниципального долга по состоянию на 01.10.2021 снизился по сравнению с объемом на начало года на 123 000 тыс. рублей или на 5,7 процента.</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По состоянию на 01.10.2021 просроченная кредиторская задолженность по расходным обязательствам Петрозаводского городского округа отсутствует.</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 xml:space="preserve">Дебиторская задолженность по сравнению с данными на начало года уменьшилась на 926 490,9 тыс. рублей или на 6,8 процента, просроченная дебиторская задолженность увеличилась на 7 524,2 тыс. рублей или на 2,3 процента.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Требования Бюджетного кодекса в части соблюдения предельного объема муниципального долга, расходов на его обслуживание и другие параметры кредитоспособности Администрацией по итогам 9 месяцев 2021 года соблюдены.</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lastRenderedPageBreak/>
        <w:t xml:space="preserve">По состоянию на 01.10.2021 расходы на реализацию мероприятий в рамках национальных проектов составили 622 890,6 тыс. рублей или 39,4 процента от утвержденных Решением о бюджете показателей.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 xml:space="preserve">По национальному проекту «Экология» при утвержденных годовых показателях в сумме 21 052,6 тыс. рублей расходы за 9 месяцев 2021 года отсутствуют.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w:t>
      </w:r>
      <w:r w:rsidRPr="008963C2">
        <w:rPr>
          <w:rFonts w:ascii="Times New Roman" w:hAnsi="Times New Roman" w:cs="Times New Roman"/>
          <w:sz w:val="28"/>
          <w:szCs w:val="28"/>
        </w:rPr>
        <w:tab/>
        <w:t xml:space="preserve"> «Анализ бюджетного процесса в Петрозаводском городском округе».</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В соответствии с требованиями Бюджетного кодекса в Петрозаводском городском округе создана необходимая база нормативно-правовых актов, регламентирующая бюджетный процесс в Петрозаводском городском округе.</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 xml:space="preserve">Администрацией Петрозаводского городского округа осуществляется постоянный контроль за изменениями бюджетного законодательства. Изменения своевременно отражаются в нормативных актах, принимаемых на муниципальном уровне.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Осуществление бюджетного процесса происходит в соответствии с действующим бюджетным законодательством и нормативно-правовыми актами Петрозаводского городского округа.</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w:t>
      </w:r>
      <w:r w:rsidRPr="008963C2">
        <w:rPr>
          <w:rFonts w:ascii="Times New Roman" w:hAnsi="Times New Roman" w:cs="Times New Roman"/>
          <w:sz w:val="28"/>
          <w:szCs w:val="28"/>
        </w:rPr>
        <w:tab/>
        <w:t xml:space="preserve"> «Мониторинг хода реализации в 2021 году национальных проектов на территории Петрозаводского городского округа».</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 xml:space="preserve">Расходы на реализацию мероприятий национальных проектов за 9 месяцев 2021 года составили 622 890,7 тыс. рублей. Исполнение плановых показателей составляет 39,4 процента. </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Установлены нарушения пункта 2 распоряжения Администрации от 14.05.2019 № 82-р «Об организации Администрацией Петрозаводского городского округа мероприятий по реализации национальных проектов» (до 08.08.2021) и распоряжения Администрации от 09.08.2021 № 122-р «Об организации Администрацией Петрозаводского городского округа мероприятий по реализации национальных проектов» (с 09.08.2021) (далее – распоряжение № 122-р) в части разработки, утверждения и актуализации планов («дорожных карт») реализации национальных проектов и пункта 3 распоряжения № 122-р в части возложения персональной ответственности на руководителя соответствующего структурного подразделения Администрации.</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Финансовое обеспечение муниципальных программ на реализацию мероприятий национальных проектов не приведено в соответствие объемам бюджетных ассигнований, утвержденным Решением о бюджете на 2021 год по состоянию на 01.10.2021, что привело к нарушению пункта 40 Порядка разработки и реализации муниципальных программ.</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Существует риск не достижения целевых показателей результативности реализации национальных проектов «Образование», «Демография», «Жилье и городская среда».</w:t>
      </w:r>
    </w:p>
    <w:p w:rsidR="008963C2" w:rsidRPr="008963C2"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lastRenderedPageBreak/>
        <w:t>•</w:t>
      </w:r>
      <w:r w:rsidRPr="008963C2">
        <w:rPr>
          <w:rFonts w:ascii="Times New Roman" w:hAnsi="Times New Roman" w:cs="Times New Roman"/>
          <w:sz w:val="28"/>
          <w:szCs w:val="28"/>
        </w:rPr>
        <w:tab/>
        <w:t xml:space="preserve"> «Анализ управления и распоряжения земельными участками, находящимися в границах Петрозаводского городского округа».</w:t>
      </w:r>
    </w:p>
    <w:p w:rsidR="0074691B" w:rsidRPr="009530B4" w:rsidRDefault="008963C2" w:rsidP="008963C2">
      <w:pPr>
        <w:spacing w:after="0" w:line="276" w:lineRule="auto"/>
        <w:ind w:firstLine="567"/>
        <w:jc w:val="both"/>
        <w:rPr>
          <w:rFonts w:ascii="Times New Roman" w:hAnsi="Times New Roman" w:cs="Times New Roman"/>
          <w:sz w:val="28"/>
          <w:szCs w:val="28"/>
        </w:rPr>
      </w:pPr>
      <w:r w:rsidRPr="008963C2">
        <w:rPr>
          <w:rFonts w:ascii="Times New Roman" w:hAnsi="Times New Roman" w:cs="Times New Roman"/>
          <w:sz w:val="28"/>
          <w:szCs w:val="28"/>
        </w:rPr>
        <w:t>В ходе мероприятия установлено несоответствие данных, отраженных в Реестре муниципального имущества Петрозаводского городского округа, данным бухгалтерского учета на сумму 133 960,8 тыс. рублей.</w:t>
      </w:r>
    </w:p>
    <w:sectPr w:rsidR="0074691B" w:rsidRPr="009530B4" w:rsidSect="009006FA">
      <w:pgSz w:w="11906" w:h="16838"/>
      <w:pgMar w:top="851" w:right="850"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A93BDF"/>
    <w:multiLevelType w:val="hybridMultilevel"/>
    <w:tmpl w:val="502051C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772A56E2"/>
    <w:multiLevelType w:val="hybridMultilevel"/>
    <w:tmpl w:val="28D27F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C2A"/>
    <w:rsid w:val="00014D3F"/>
    <w:rsid w:val="0003051B"/>
    <w:rsid w:val="000D3ABF"/>
    <w:rsid w:val="000D4B4E"/>
    <w:rsid w:val="000E05FF"/>
    <w:rsid w:val="001100AA"/>
    <w:rsid w:val="001118BF"/>
    <w:rsid w:val="00114DA8"/>
    <w:rsid w:val="00141A47"/>
    <w:rsid w:val="001431FA"/>
    <w:rsid w:val="001846B7"/>
    <w:rsid w:val="001B306A"/>
    <w:rsid w:val="001E3B62"/>
    <w:rsid w:val="001F23A2"/>
    <w:rsid w:val="00201789"/>
    <w:rsid w:val="0021704E"/>
    <w:rsid w:val="00234749"/>
    <w:rsid w:val="00251D6F"/>
    <w:rsid w:val="00262B74"/>
    <w:rsid w:val="002654AD"/>
    <w:rsid w:val="002C4966"/>
    <w:rsid w:val="002C5433"/>
    <w:rsid w:val="002D0F15"/>
    <w:rsid w:val="002D66F6"/>
    <w:rsid w:val="002E3BD5"/>
    <w:rsid w:val="00305FB6"/>
    <w:rsid w:val="0031324D"/>
    <w:rsid w:val="00326E7B"/>
    <w:rsid w:val="00335957"/>
    <w:rsid w:val="00343A17"/>
    <w:rsid w:val="00346F9B"/>
    <w:rsid w:val="003526C9"/>
    <w:rsid w:val="00362EA4"/>
    <w:rsid w:val="00375C91"/>
    <w:rsid w:val="003A5F21"/>
    <w:rsid w:val="00401EB9"/>
    <w:rsid w:val="00412FFF"/>
    <w:rsid w:val="00462C1E"/>
    <w:rsid w:val="004915C3"/>
    <w:rsid w:val="00493431"/>
    <w:rsid w:val="004A30AE"/>
    <w:rsid w:val="004B2702"/>
    <w:rsid w:val="004B402E"/>
    <w:rsid w:val="004B6BA4"/>
    <w:rsid w:val="004C5494"/>
    <w:rsid w:val="004F0B05"/>
    <w:rsid w:val="005061BE"/>
    <w:rsid w:val="00525BA1"/>
    <w:rsid w:val="005462BF"/>
    <w:rsid w:val="00575D24"/>
    <w:rsid w:val="00586534"/>
    <w:rsid w:val="005875FB"/>
    <w:rsid w:val="005B5BDD"/>
    <w:rsid w:val="005D532E"/>
    <w:rsid w:val="005D753D"/>
    <w:rsid w:val="005F2348"/>
    <w:rsid w:val="005F715B"/>
    <w:rsid w:val="006534DC"/>
    <w:rsid w:val="006816DB"/>
    <w:rsid w:val="00696F9D"/>
    <w:rsid w:val="006F0553"/>
    <w:rsid w:val="006F0FDF"/>
    <w:rsid w:val="006F3B32"/>
    <w:rsid w:val="006F3F68"/>
    <w:rsid w:val="00715FF7"/>
    <w:rsid w:val="00722C33"/>
    <w:rsid w:val="007241F0"/>
    <w:rsid w:val="0074691B"/>
    <w:rsid w:val="00762557"/>
    <w:rsid w:val="007677B8"/>
    <w:rsid w:val="007D6D9A"/>
    <w:rsid w:val="007E19D2"/>
    <w:rsid w:val="007F3C3A"/>
    <w:rsid w:val="0085346E"/>
    <w:rsid w:val="00853883"/>
    <w:rsid w:val="00867AB2"/>
    <w:rsid w:val="0089219E"/>
    <w:rsid w:val="008963C2"/>
    <w:rsid w:val="008A059A"/>
    <w:rsid w:val="008A159B"/>
    <w:rsid w:val="008B1C52"/>
    <w:rsid w:val="008B580E"/>
    <w:rsid w:val="008F33B5"/>
    <w:rsid w:val="008F5727"/>
    <w:rsid w:val="009006FA"/>
    <w:rsid w:val="0091621D"/>
    <w:rsid w:val="00924A82"/>
    <w:rsid w:val="00924ABC"/>
    <w:rsid w:val="00934EB7"/>
    <w:rsid w:val="00940C82"/>
    <w:rsid w:val="00946FDC"/>
    <w:rsid w:val="009530B4"/>
    <w:rsid w:val="00974913"/>
    <w:rsid w:val="00981B91"/>
    <w:rsid w:val="009831FC"/>
    <w:rsid w:val="009863B5"/>
    <w:rsid w:val="009D705E"/>
    <w:rsid w:val="009E4193"/>
    <w:rsid w:val="00A033E2"/>
    <w:rsid w:val="00A60D36"/>
    <w:rsid w:val="00A6780B"/>
    <w:rsid w:val="00A71B0F"/>
    <w:rsid w:val="00A9146E"/>
    <w:rsid w:val="00B16437"/>
    <w:rsid w:val="00B24DEF"/>
    <w:rsid w:val="00B472ED"/>
    <w:rsid w:val="00BA6E5D"/>
    <w:rsid w:val="00BC63CA"/>
    <w:rsid w:val="00C10868"/>
    <w:rsid w:val="00C35084"/>
    <w:rsid w:val="00C359C5"/>
    <w:rsid w:val="00C47633"/>
    <w:rsid w:val="00C634D0"/>
    <w:rsid w:val="00C77FD3"/>
    <w:rsid w:val="00C835AD"/>
    <w:rsid w:val="00C9110B"/>
    <w:rsid w:val="00C96C48"/>
    <w:rsid w:val="00CA457F"/>
    <w:rsid w:val="00CB4088"/>
    <w:rsid w:val="00CE3653"/>
    <w:rsid w:val="00CF4A84"/>
    <w:rsid w:val="00D04C21"/>
    <w:rsid w:val="00D262BC"/>
    <w:rsid w:val="00D33BC2"/>
    <w:rsid w:val="00D437BA"/>
    <w:rsid w:val="00D443DF"/>
    <w:rsid w:val="00D533D6"/>
    <w:rsid w:val="00D76DE8"/>
    <w:rsid w:val="00D90465"/>
    <w:rsid w:val="00DB49B5"/>
    <w:rsid w:val="00DE4C2A"/>
    <w:rsid w:val="00DE582B"/>
    <w:rsid w:val="00DF0B0E"/>
    <w:rsid w:val="00DF184C"/>
    <w:rsid w:val="00E0679B"/>
    <w:rsid w:val="00E30080"/>
    <w:rsid w:val="00E46623"/>
    <w:rsid w:val="00E57480"/>
    <w:rsid w:val="00E60BC1"/>
    <w:rsid w:val="00E63E88"/>
    <w:rsid w:val="00E734DF"/>
    <w:rsid w:val="00E903C5"/>
    <w:rsid w:val="00EA4ADF"/>
    <w:rsid w:val="00EC0E0B"/>
    <w:rsid w:val="00EC0FF8"/>
    <w:rsid w:val="00ED40B1"/>
    <w:rsid w:val="00EE4588"/>
    <w:rsid w:val="00EF0249"/>
    <w:rsid w:val="00F155D6"/>
    <w:rsid w:val="00F335F7"/>
    <w:rsid w:val="00F55989"/>
    <w:rsid w:val="00F61EA2"/>
    <w:rsid w:val="00F63923"/>
    <w:rsid w:val="00F809AD"/>
    <w:rsid w:val="00FC1CA0"/>
    <w:rsid w:val="00FC464A"/>
    <w:rsid w:val="00FD61D6"/>
    <w:rsid w:val="00FD68FA"/>
    <w:rsid w:val="00FE3DDA"/>
    <w:rsid w:val="00FE49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5A2A2D-2299-4319-A6FA-0C8717BEB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3C3A"/>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B4088"/>
    <w:pPr>
      <w:spacing w:after="0" w:line="240" w:lineRule="auto"/>
    </w:pPr>
    <w:rPr>
      <w:rFonts w:ascii="Calibri" w:eastAsia="Calibri" w:hAnsi="Calibri" w:cs="Times New Roman"/>
    </w:rPr>
  </w:style>
  <w:style w:type="paragraph" w:styleId="a4">
    <w:name w:val="Balloon Text"/>
    <w:basedOn w:val="a"/>
    <w:link w:val="a5"/>
    <w:uiPriority w:val="99"/>
    <w:semiHidden/>
    <w:unhideWhenUsed/>
    <w:rsid w:val="007677B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7677B8"/>
    <w:rPr>
      <w:rFonts w:ascii="Segoe UI" w:hAnsi="Segoe UI" w:cs="Segoe UI"/>
      <w:sz w:val="18"/>
      <w:szCs w:val="18"/>
    </w:rPr>
  </w:style>
  <w:style w:type="paragraph" w:styleId="a6">
    <w:name w:val="Normal (Web)"/>
    <w:basedOn w:val="a"/>
    <w:uiPriority w:val="99"/>
    <w:semiHidden/>
    <w:unhideWhenUsed/>
    <w:rsid w:val="00E466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715FF7"/>
    <w:rPr>
      <w:b/>
      <w:bCs/>
    </w:rPr>
  </w:style>
  <w:style w:type="paragraph" w:styleId="a8">
    <w:name w:val="List Paragraph"/>
    <w:basedOn w:val="a"/>
    <w:uiPriority w:val="99"/>
    <w:qFormat/>
    <w:rsid w:val="00867AB2"/>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Default">
    <w:name w:val="Default"/>
    <w:uiPriority w:val="99"/>
    <w:semiHidden/>
    <w:rsid w:val="00867AB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602646">
      <w:bodyDiv w:val="1"/>
      <w:marLeft w:val="0"/>
      <w:marRight w:val="0"/>
      <w:marTop w:val="0"/>
      <w:marBottom w:val="0"/>
      <w:divBdr>
        <w:top w:val="none" w:sz="0" w:space="0" w:color="auto"/>
        <w:left w:val="none" w:sz="0" w:space="0" w:color="auto"/>
        <w:bottom w:val="none" w:sz="0" w:space="0" w:color="auto"/>
        <w:right w:val="none" w:sz="0" w:space="0" w:color="auto"/>
      </w:divBdr>
    </w:div>
    <w:div w:id="730037873">
      <w:bodyDiv w:val="1"/>
      <w:marLeft w:val="0"/>
      <w:marRight w:val="0"/>
      <w:marTop w:val="0"/>
      <w:marBottom w:val="0"/>
      <w:divBdr>
        <w:top w:val="none" w:sz="0" w:space="0" w:color="auto"/>
        <w:left w:val="none" w:sz="0" w:space="0" w:color="auto"/>
        <w:bottom w:val="none" w:sz="0" w:space="0" w:color="auto"/>
        <w:right w:val="none" w:sz="0" w:space="0" w:color="auto"/>
      </w:divBdr>
      <w:divsChild>
        <w:div w:id="1927380468">
          <w:marLeft w:val="0"/>
          <w:marRight w:val="0"/>
          <w:marTop w:val="100"/>
          <w:marBottom w:val="100"/>
          <w:divBdr>
            <w:top w:val="none" w:sz="0" w:space="0" w:color="auto"/>
            <w:left w:val="none" w:sz="0" w:space="0" w:color="auto"/>
            <w:bottom w:val="none" w:sz="0" w:space="0" w:color="auto"/>
            <w:right w:val="none" w:sz="0" w:space="0" w:color="auto"/>
          </w:divBdr>
          <w:divsChild>
            <w:div w:id="381441710">
              <w:marLeft w:val="0"/>
              <w:marRight w:val="0"/>
              <w:marTop w:val="0"/>
              <w:marBottom w:val="0"/>
              <w:divBdr>
                <w:top w:val="none" w:sz="0" w:space="0" w:color="auto"/>
                <w:left w:val="none" w:sz="0" w:space="0" w:color="auto"/>
                <w:bottom w:val="none" w:sz="0" w:space="0" w:color="auto"/>
                <w:right w:val="none" w:sz="0" w:space="0" w:color="auto"/>
              </w:divBdr>
              <w:divsChild>
                <w:div w:id="1902138024">
                  <w:marLeft w:val="270"/>
                  <w:marRight w:val="0"/>
                  <w:marTop w:val="180"/>
                  <w:marBottom w:val="0"/>
                  <w:divBdr>
                    <w:top w:val="none" w:sz="0" w:space="0" w:color="auto"/>
                    <w:left w:val="none" w:sz="0" w:space="0" w:color="auto"/>
                    <w:bottom w:val="none" w:sz="0" w:space="0" w:color="auto"/>
                    <w:right w:val="none" w:sz="0" w:space="0" w:color="auto"/>
                  </w:divBdr>
                  <w:divsChild>
                    <w:div w:id="14131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481028">
      <w:bodyDiv w:val="1"/>
      <w:marLeft w:val="0"/>
      <w:marRight w:val="0"/>
      <w:marTop w:val="0"/>
      <w:marBottom w:val="0"/>
      <w:divBdr>
        <w:top w:val="none" w:sz="0" w:space="0" w:color="auto"/>
        <w:left w:val="none" w:sz="0" w:space="0" w:color="auto"/>
        <w:bottom w:val="none" w:sz="0" w:space="0" w:color="auto"/>
        <w:right w:val="none" w:sz="0" w:space="0" w:color="auto"/>
      </w:divBdr>
      <w:divsChild>
        <w:div w:id="1101686560">
          <w:marLeft w:val="0"/>
          <w:marRight w:val="0"/>
          <w:marTop w:val="0"/>
          <w:marBottom w:val="0"/>
          <w:divBdr>
            <w:top w:val="none" w:sz="0" w:space="0" w:color="auto"/>
            <w:left w:val="none" w:sz="0" w:space="0" w:color="auto"/>
            <w:bottom w:val="none" w:sz="0" w:space="0" w:color="auto"/>
            <w:right w:val="none" w:sz="0" w:space="0" w:color="auto"/>
          </w:divBdr>
          <w:divsChild>
            <w:div w:id="1569417388">
              <w:marLeft w:val="0"/>
              <w:marRight w:val="0"/>
              <w:marTop w:val="0"/>
              <w:marBottom w:val="0"/>
              <w:divBdr>
                <w:top w:val="none" w:sz="0" w:space="0" w:color="auto"/>
                <w:left w:val="none" w:sz="0" w:space="0" w:color="auto"/>
                <w:bottom w:val="none" w:sz="0" w:space="0" w:color="auto"/>
                <w:right w:val="none" w:sz="0" w:space="0" w:color="auto"/>
              </w:divBdr>
              <w:divsChild>
                <w:div w:id="374619823">
                  <w:marLeft w:val="0"/>
                  <w:marRight w:val="0"/>
                  <w:marTop w:val="0"/>
                  <w:marBottom w:val="0"/>
                  <w:divBdr>
                    <w:top w:val="none" w:sz="0" w:space="0" w:color="auto"/>
                    <w:left w:val="none" w:sz="0" w:space="0" w:color="auto"/>
                    <w:bottom w:val="none" w:sz="0" w:space="0" w:color="auto"/>
                    <w:right w:val="none" w:sz="0" w:space="0" w:color="auto"/>
                  </w:divBdr>
                  <w:divsChild>
                    <w:div w:id="961502355">
                      <w:marLeft w:val="0"/>
                      <w:marRight w:val="0"/>
                      <w:marTop w:val="0"/>
                      <w:marBottom w:val="0"/>
                      <w:divBdr>
                        <w:top w:val="none" w:sz="0" w:space="0" w:color="auto"/>
                        <w:left w:val="none" w:sz="0" w:space="0" w:color="auto"/>
                        <w:bottom w:val="none" w:sz="0" w:space="0" w:color="auto"/>
                        <w:right w:val="none" w:sz="0" w:space="0" w:color="auto"/>
                      </w:divBdr>
                      <w:divsChild>
                        <w:div w:id="214449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2319</Words>
  <Characters>13223</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ZAMPRED</dc:creator>
  <cp:keywords/>
  <dc:description/>
  <cp:lastModifiedBy>Петрозаводск Контрольно-счетная палата</cp:lastModifiedBy>
  <cp:revision>5</cp:revision>
  <cp:lastPrinted>2021-04-23T06:59:00Z</cp:lastPrinted>
  <dcterms:created xsi:type="dcterms:W3CDTF">2022-02-03T08:27:00Z</dcterms:created>
  <dcterms:modified xsi:type="dcterms:W3CDTF">2022-02-03T08:36:00Z</dcterms:modified>
</cp:coreProperties>
</file>